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135" w:rsidRPr="00136135" w:rsidRDefault="00136135" w:rsidP="00136135">
      <w:pPr>
        <w:autoSpaceDE w:val="0"/>
        <w:autoSpaceDN w:val="0"/>
        <w:adjustRightInd w:val="0"/>
        <w:spacing w:before="960" w:after="360"/>
        <w:rPr>
          <w:rFonts w:ascii="Verdana" w:hAnsi="Verdana"/>
          <w:b/>
          <w:sz w:val="28"/>
          <w:szCs w:val="28"/>
        </w:rPr>
      </w:pPr>
      <w:r w:rsidRPr="00136135">
        <w:rPr>
          <w:rFonts w:ascii="Verdana" w:hAnsi="Verdana"/>
          <w:b/>
          <w:sz w:val="28"/>
          <w:szCs w:val="28"/>
        </w:rPr>
        <w:t>FONKSİYONEL BİR BESİN OLARAK TURUNÇGİLLER VE METABOLİK SENDROM İLİŞKİSİ</w:t>
      </w:r>
    </w:p>
    <w:p w:rsidR="00246BE3" w:rsidRPr="00A06540" w:rsidRDefault="00136135" w:rsidP="00136135">
      <w:pPr>
        <w:autoSpaceDE w:val="0"/>
        <w:autoSpaceDN w:val="0"/>
        <w:adjustRightInd w:val="0"/>
        <w:spacing w:before="120"/>
        <w:rPr>
          <w:rFonts w:eastAsia="TimesNewRomanPSMT"/>
          <w:b/>
          <w:sz w:val="26"/>
          <w:szCs w:val="26"/>
          <w:vertAlign w:val="superscript"/>
        </w:rPr>
      </w:pPr>
      <w:r w:rsidRPr="00136135">
        <w:rPr>
          <w:rFonts w:eastAsia="TimesNewRomanPSMT"/>
          <w:b/>
          <w:sz w:val="26"/>
          <w:szCs w:val="26"/>
        </w:rPr>
        <w:t>Pelin Cin</w:t>
      </w:r>
      <w:r w:rsidRPr="00136135">
        <w:rPr>
          <w:rFonts w:eastAsia="TimesNewRomanPSMT"/>
          <w:b/>
          <w:sz w:val="26"/>
          <w:szCs w:val="26"/>
          <w:vertAlign w:val="superscript"/>
        </w:rPr>
        <w:t>1</w:t>
      </w:r>
      <w:r w:rsidRPr="00136135">
        <w:rPr>
          <w:rFonts w:eastAsia="TimesNewRomanPSMT"/>
          <w:b/>
          <w:sz w:val="26"/>
          <w:szCs w:val="26"/>
        </w:rPr>
        <w:t>, Ceren Gezer</w:t>
      </w:r>
      <w:r w:rsidRPr="00136135">
        <w:rPr>
          <w:rFonts w:eastAsia="TimesNewRomanPSMT"/>
          <w:b/>
          <w:sz w:val="26"/>
          <w:szCs w:val="26"/>
          <w:vertAlign w:val="superscript"/>
        </w:rPr>
        <w:t>2</w:t>
      </w:r>
    </w:p>
    <w:p w:rsidR="00136135" w:rsidRPr="00A06540" w:rsidRDefault="00136135" w:rsidP="00136135">
      <w:pPr>
        <w:tabs>
          <w:tab w:val="left" w:pos="142"/>
        </w:tabs>
        <w:autoSpaceDE w:val="0"/>
        <w:autoSpaceDN w:val="0"/>
        <w:adjustRightInd w:val="0"/>
        <w:spacing w:before="120"/>
        <w:jc w:val="both"/>
        <w:rPr>
          <w:sz w:val="18"/>
          <w:szCs w:val="18"/>
        </w:rPr>
      </w:pPr>
      <w:r w:rsidRPr="006F36D2">
        <w:rPr>
          <w:sz w:val="18"/>
          <w:szCs w:val="18"/>
          <w:vertAlign w:val="superscript"/>
        </w:rPr>
        <w:t>1</w:t>
      </w:r>
      <w:r w:rsidRPr="00A06540">
        <w:rPr>
          <w:sz w:val="18"/>
          <w:szCs w:val="18"/>
        </w:rPr>
        <w:tab/>
      </w:r>
      <w:r w:rsidR="006F36D2" w:rsidRPr="006F36D2">
        <w:rPr>
          <w:color w:val="000000"/>
          <w:sz w:val="18"/>
          <w:szCs w:val="18"/>
          <w:lang w:eastAsia="tr-TR"/>
        </w:rPr>
        <w:t>Serbest, Diyetisyen, İstanbul, Türkiye</w:t>
      </w:r>
    </w:p>
    <w:p w:rsidR="00136135" w:rsidRPr="00A06540" w:rsidRDefault="00136135" w:rsidP="00136135">
      <w:pPr>
        <w:tabs>
          <w:tab w:val="left" w:pos="142"/>
        </w:tabs>
        <w:autoSpaceDE w:val="0"/>
        <w:autoSpaceDN w:val="0"/>
        <w:adjustRightInd w:val="0"/>
        <w:spacing w:before="120"/>
        <w:jc w:val="both"/>
        <w:rPr>
          <w:sz w:val="18"/>
          <w:szCs w:val="18"/>
        </w:rPr>
      </w:pPr>
      <w:r w:rsidRPr="00A06540">
        <w:rPr>
          <w:sz w:val="18"/>
          <w:szCs w:val="18"/>
          <w:vertAlign w:val="superscript"/>
        </w:rPr>
        <w:t xml:space="preserve">2 </w:t>
      </w:r>
      <w:r w:rsidRPr="00A06540">
        <w:rPr>
          <w:sz w:val="18"/>
          <w:szCs w:val="18"/>
          <w:vertAlign w:val="superscript"/>
        </w:rPr>
        <w:tab/>
      </w:r>
      <w:r w:rsidRPr="00A06540">
        <w:rPr>
          <w:sz w:val="18"/>
          <w:szCs w:val="18"/>
        </w:rPr>
        <w:t xml:space="preserve">Doğu Akdeniz Üniversitesi, Sağlık Bilimleri Fakültesi, Beslenme ve Diyetetik Bölümü, </w:t>
      </w:r>
      <w:r w:rsidR="006F36D2" w:rsidRPr="006F36D2">
        <w:rPr>
          <w:color w:val="000000"/>
          <w:sz w:val="18"/>
          <w:szCs w:val="18"/>
          <w:lang w:eastAsia="tr-TR"/>
        </w:rPr>
        <w:t>Gazimağusa</w:t>
      </w:r>
      <w:r w:rsidRPr="006F36D2">
        <w:rPr>
          <w:sz w:val="18"/>
          <w:szCs w:val="18"/>
        </w:rPr>
        <w:t>, Kuzey Kıbrıs</w:t>
      </w:r>
    </w:p>
    <w:p w:rsidR="003C68CE" w:rsidRPr="00136135" w:rsidRDefault="003C68CE" w:rsidP="002D6C4E">
      <w:pPr>
        <w:spacing w:before="120"/>
        <w:rPr>
          <w:sz w:val="18"/>
          <w:szCs w:val="18"/>
          <w:vertAlign w:val="superscript"/>
        </w:rPr>
        <w:sectPr w:rsidR="003C68CE" w:rsidRPr="00136135" w:rsidSect="00A0654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1417" w:bottom="1417" w:left="1417" w:header="709" w:footer="709" w:gutter="0"/>
          <w:pgNumType w:start="49"/>
          <w:cols w:space="284"/>
          <w:titlePg/>
          <w:docGrid w:linePitch="360"/>
        </w:sectPr>
      </w:pPr>
    </w:p>
    <w:p w:rsidR="00EF5CB7" w:rsidRDefault="00EF5CB7" w:rsidP="007C38E3">
      <w:pPr>
        <w:spacing w:before="360"/>
        <w:ind w:right="425"/>
        <w:rPr>
          <w:sz w:val="18"/>
          <w:szCs w:val="18"/>
        </w:rPr>
      </w:pPr>
      <w:r w:rsidRPr="00711758">
        <w:rPr>
          <w:b/>
          <w:sz w:val="18"/>
          <w:szCs w:val="18"/>
        </w:rPr>
        <w:t xml:space="preserve">Received: </w:t>
      </w:r>
      <w:r w:rsidR="00136135" w:rsidRPr="00136135">
        <w:rPr>
          <w:sz w:val="18"/>
          <w:szCs w:val="18"/>
        </w:rPr>
        <w:t>22.</w:t>
      </w:r>
      <w:r w:rsidR="00136135">
        <w:rPr>
          <w:sz w:val="18"/>
          <w:szCs w:val="18"/>
        </w:rPr>
        <w:t>11</w:t>
      </w:r>
      <w:r w:rsidR="00246BE3">
        <w:rPr>
          <w:sz w:val="18"/>
          <w:szCs w:val="18"/>
        </w:rPr>
        <w:t>.2016</w:t>
      </w:r>
      <w:r>
        <w:rPr>
          <w:sz w:val="18"/>
          <w:szCs w:val="18"/>
        </w:rPr>
        <w:t xml:space="preserve"> </w:t>
      </w:r>
    </w:p>
    <w:p w:rsidR="00EF5CB7" w:rsidRDefault="00EF5CB7" w:rsidP="00EF5CB7">
      <w:pPr>
        <w:spacing w:before="120"/>
        <w:ind w:right="425"/>
        <w:rPr>
          <w:sz w:val="18"/>
          <w:szCs w:val="18"/>
        </w:rPr>
      </w:pPr>
      <w:r w:rsidRPr="00711758">
        <w:rPr>
          <w:b/>
          <w:sz w:val="18"/>
          <w:szCs w:val="18"/>
        </w:rPr>
        <w:t>Accepted:</w:t>
      </w:r>
      <w:r w:rsidR="00136135">
        <w:rPr>
          <w:sz w:val="18"/>
          <w:szCs w:val="18"/>
        </w:rPr>
        <w:t xml:space="preserve"> 05.01.2017</w:t>
      </w:r>
      <w:r>
        <w:rPr>
          <w:sz w:val="18"/>
          <w:szCs w:val="18"/>
        </w:rPr>
        <w:t xml:space="preserve"> </w:t>
      </w:r>
    </w:p>
    <w:p w:rsidR="0065451A" w:rsidRDefault="00EF5CB7" w:rsidP="009228E5">
      <w:pPr>
        <w:spacing w:before="120"/>
        <w:ind w:right="425"/>
        <w:rPr>
          <w:b/>
          <w:sz w:val="18"/>
          <w:szCs w:val="18"/>
        </w:rPr>
      </w:pPr>
      <w:r w:rsidRPr="00711758">
        <w:rPr>
          <w:b/>
          <w:sz w:val="18"/>
          <w:szCs w:val="18"/>
        </w:rPr>
        <w:t xml:space="preserve">Published </w:t>
      </w:r>
      <w:proofErr w:type="gramStart"/>
      <w:r w:rsidRPr="00711758">
        <w:rPr>
          <w:b/>
          <w:sz w:val="18"/>
          <w:szCs w:val="18"/>
        </w:rPr>
        <w:t>online</w:t>
      </w:r>
      <w:proofErr w:type="gramEnd"/>
      <w:r w:rsidRPr="00711758">
        <w:rPr>
          <w:b/>
          <w:sz w:val="18"/>
          <w:szCs w:val="18"/>
        </w:rPr>
        <w:t xml:space="preserve">: </w:t>
      </w:r>
      <w:r w:rsidR="006F36D2">
        <w:rPr>
          <w:b/>
          <w:sz w:val="18"/>
          <w:szCs w:val="18"/>
        </w:rPr>
        <w:t>18</w:t>
      </w:r>
      <w:r w:rsidR="00136135">
        <w:rPr>
          <w:b/>
          <w:sz w:val="18"/>
          <w:szCs w:val="18"/>
        </w:rPr>
        <w:t>.01.2017</w:t>
      </w:r>
    </w:p>
    <w:p w:rsidR="00845D9A" w:rsidRDefault="004732C4" w:rsidP="00845D9A">
      <w:pPr>
        <w:jc w:val="both"/>
        <w:rPr>
          <w:b/>
          <w:sz w:val="18"/>
          <w:szCs w:val="18"/>
        </w:rPr>
      </w:pPr>
      <w:r>
        <w:rPr>
          <w:b/>
          <w:sz w:val="18"/>
          <w:szCs w:val="18"/>
        </w:rPr>
        <w:br w:type="column"/>
      </w:r>
    </w:p>
    <w:p w:rsidR="007C38E3" w:rsidRDefault="00971AFE" w:rsidP="00831EEE">
      <w:pPr>
        <w:spacing w:before="120" w:after="60"/>
        <w:jc w:val="both"/>
        <w:rPr>
          <w:b/>
          <w:sz w:val="18"/>
          <w:szCs w:val="18"/>
        </w:rPr>
      </w:pPr>
      <w:r>
        <w:rPr>
          <w:b/>
          <w:sz w:val="18"/>
          <w:szCs w:val="18"/>
        </w:rPr>
        <w:t>Corresponding a</w:t>
      </w:r>
      <w:r w:rsidRPr="00971AFE">
        <w:rPr>
          <w:b/>
          <w:sz w:val="18"/>
          <w:szCs w:val="18"/>
        </w:rPr>
        <w:t>uthor</w:t>
      </w:r>
      <w:r>
        <w:rPr>
          <w:b/>
          <w:sz w:val="18"/>
          <w:szCs w:val="18"/>
        </w:rPr>
        <w:t>:</w:t>
      </w:r>
      <w:r w:rsidR="007C38E3">
        <w:rPr>
          <w:b/>
          <w:sz w:val="18"/>
          <w:szCs w:val="18"/>
        </w:rPr>
        <w:t xml:space="preserve"> </w:t>
      </w:r>
    </w:p>
    <w:p w:rsidR="001E6087" w:rsidRPr="00A06540" w:rsidRDefault="00136135" w:rsidP="00136135">
      <w:pPr>
        <w:tabs>
          <w:tab w:val="left" w:pos="142"/>
        </w:tabs>
        <w:autoSpaceDE w:val="0"/>
        <w:autoSpaceDN w:val="0"/>
        <w:adjustRightInd w:val="0"/>
        <w:spacing w:before="120"/>
        <w:jc w:val="both"/>
        <w:rPr>
          <w:color w:val="000000"/>
          <w:sz w:val="18"/>
          <w:szCs w:val="18"/>
        </w:rPr>
      </w:pPr>
      <w:r>
        <w:rPr>
          <w:b/>
          <w:sz w:val="18"/>
          <w:szCs w:val="18"/>
        </w:rPr>
        <w:t>Ceren GEZER</w:t>
      </w:r>
      <w:r w:rsidR="001E6087">
        <w:rPr>
          <w:b/>
          <w:sz w:val="18"/>
          <w:szCs w:val="18"/>
        </w:rPr>
        <w:t>,</w:t>
      </w:r>
      <w:r w:rsidR="007C38E3" w:rsidRPr="0089592F">
        <w:rPr>
          <w:b/>
          <w:sz w:val="18"/>
          <w:szCs w:val="18"/>
        </w:rPr>
        <w:t xml:space="preserve"> </w:t>
      </w:r>
      <w:r w:rsidRPr="00136135">
        <w:rPr>
          <w:sz w:val="18"/>
          <w:szCs w:val="18"/>
        </w:rPr>
        <w:t>Doğu Akdeniz Üniversitesi, Sağlık Bilimleri Fakültesi</w:t>
      </w:r>
      <w:r w:rsidRPr="006F36D2">
        <w:rPr>
          <w:sz w:val="18"/>
          <w:szCs w:val="18"/>
        </w:rPr>
        <w:t xml:space="preserve">, Beslenme ve Diyetetik Bölümü, </w:t>
      </w:r>
      <w:r w:rsidR="006F36D2" w:rsidRPr="006F36D2">
        <w:rPr>
          <w:color w:val="000000"/>
          <w:sz w:val="18"/>
          <w:szCs w:val="18"/>
          <w:lang w:eastAsia="tr-TR"/>
        </w:rPr>
        <w:t>Gazimağusa, Kuzey Kıbrıs</w:t>
      </w:r>
    </w:p>
    <w:p w:rsidR="00977044" w:rsidRDefault="007C38E3" w:rsidP="001E6087">
      <w:pPr>
        <w:spacing w:before="120" w:after="60"/>
        <w:jc w:val="both"/>
        <w:rPr>
          <w:rStyle w:val="Kpr"/>
          <w:b/>
          <w:sz w:val="18"/>
          <w:szCs w:val="18"/>
        </w:rPr>
      </w:pPr>
      <w:r w:rsidRPr="00136135">
        <w:rPr>
          <w:b/>
          <w:bCs/>
          <w:sz w:val="18"/>
          <w:szCs w:val="18"/>
          <w:lang w:val="de-DE"/>
        </w:rPr>
        <w:t xml:space="preserve">E-mail:  </w:t>
      </w:r>
      <w:hyperlink r:id="rId14" w:history="1">
        <w:r w:rsidR="00136135" w:rsidRPr="00136135">
          <w:rPr>
            <w:rStyle w:val="Kpr"/>
            <w:b/>
            <w:sz w:val="18"/>
            <w:szCs w:val="18"/>
          </w:rPr>
          <w:t>ceren.gezer@emu.edu.tr</w:t>
        </w:r>
      </w:hyperlink>
    </w:p>
    <w:p w:rsidR="00F54466" w:rsidRPr="00136135" w:rsidRDefault="00F54466" w:rsidP="00F54466">
      <w:pPr>
        <w:jc w:val="both"/>
        <w:rPr>
          <w:b/>
          <w:color w:val="0000FF"/>
          <w:sz w:val="18"/>
          <w:szCs w:val="18"/>
          <w:u w:val="single"/>
          <w:lang w:val="de-DE"/>
        </w:rPr>
        <w:sectPr w:rsidR="00F54466" w:rsidRPr="00136135" w:rsidSect="007C38E3">
          <w:type w:val="continuous"/>
          <w:pgSz w:w="11906" w:h="16838" w:code="9"/>
          <w:pgMar w:top="1417" w:right="1417" w:bottom="1417" w:left="1417" w:header="709" w:footer="709" w:gutter="0"/>
          <w:pgNumType w:start="153"/>
          <w:cols w:num="2" w:space="284"/>
          <w:titlePg/>
          <w:docGrid w:linePitch="360"/>
        </w:sectPr>
      </w:pPr>
    </w:p>
    <w:p w:rsidR="00136135" w:rsidRDefault="00977044" w:rsidP="001E6087">
      <w:pPr>
        <w:spacing w:before="240" w:after="60"/>
        <w:rPr>
          <w:b/>
          <w:sz w:val="20"/>
          <w:szCs w:val="20"/>
        </w:rPr>
      </w:pPr>
      <w:r>
        <w:rPr>
          <w:b/>
          <w:bCs/>
          <w:noProof/>
          <w:sz w:val="26"/>
          <w:szCs w:val="26"/>
          <w:lang w:eastAsia="tr-TR"/>
        </w:rPr>
        <mc:AlternateContent>
          <mc:Choice Requires="wps">
            <w:drawing>
              <wp:anchor distT="0" distB="0" distL="114300" distR="114300" simplePos="0" relativeHeight="251658240" behindDoc="0" locked="0" layoutInCell="1" allowOverlap="1" wp14:anchorId="21CB2EC0" wp14:editId="0ACD3167">
                <wp:simplePos x="0" y="0"/>
                <wp:positionH relativeFrom="margin">
                  <wp:align>left</wp:align>
                </wp:positionH>
                <wp:positionV relativeFrom="paragraph">
                  <wp:posOffset>30480</wp:posOffset>
                </wp:positionV>
                <wp:extent cx="5848350" cy="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89AD8" id="_x0000_t32" coordsize="21600,21600" o:spt="32" o:oned="t" path="m,l21600,21600e" filled="f">
                <v:path arrowok="t" fillok="f" o:connecttype="none"/>
                <o:lock v:ext="edit" shapetype="t"/>
              </v:shapetype>
              <v:shape id="AutoShape 7" o:spid="_x0000_s1026" type="#_x0000_t32" style="position:absolute;margin-left:0;margin-top:2.4pt;width:460.5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dV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xjGcwroCoSm1taJAe1at50fS7Q0pXHVEtj8FvJwO5WchI3qWEizNQZDd81gxiCODH&#10;WR0b2wdImAI6RklON0n40SMKH6fzfP4wBeX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M6gHFrYAAAABAEAAA8AAABkcnMvZG93bnJldi54bWxMj0FLw0AQ&#10;he+C/2EZwYvYTYKKTbMpRfDg0bbgdZqdJtHsbMhumthf7+jFHj/e8N43xXp2nTrREFrPBtJFAoq4&#10;8rbl2sB+93r/DCpEZIudZzLwTQHW5fVVgbn1E7/TaRtrJSUccjTQxNjnWoeqIYdh4XtiyY5+cBgF&#10;h1rbAScpd53OkuRJO2xZFhrs6aWh6ms7OgMUxsc02SxdvX87T3cf2flz6nfG3N7MmxWoSHP8P4Zf&#10;fVGHUpwOfmQbVGdAHokGHkRfwmWWCh/+WJeFvpQvfwAAAP//AwBQSwECLQAUAAYACAAAACEAtoM4&#10;kv4AAADhAQAAEwAAAAAAAAAAAAAAAAAAAAAAW0NvbnRlbnRfVHlwZXNdLnhtbFBLAQItABQABgAI&#10;AAAAIQA4/SH/1gAAAJQBAAALAAAAAAAAAAAAAAAAAC8BAABfcmVscy8ucmVsc1BLAQItABQABgAI&#10;AAAAIQCsjodVHwIAADsEAAAOAAAAAAAAAAAAAAAAAC4CAABkcnMvZTJvRG9jLnhtbFBLAQItABQA&#10;BgAIAAAAIQDOoBxa2AAAAAQBAAAPAAAAAAAAAAAAAAAAAHkEAABkcnMvZG93bnJldi54bWxQSwUG&#10;AAAAAAQABADzAAAAfgUAAAAA&#10;">
                <w10:wrap anchorx="margin"/>
              </v:shape>
            </w:pict>
          </mc:Fallback>
        </mc:AlternateContent>
      </w:r>
      <w:r w:rsidR="00136135">
        <w:rPr>
          <w:b/>
          <w:sz w:val="20"/>
          <w:szCs w:val="20"/>
        </w:rPr>
        <w:t>Öz:</w:t>
      </w:r>
    </w:p>
    <w:p w:rsidR="00136135" w:rsidRPr="00136135" w:rsidRDefault="00136135" w:rsidP="00136135">
      <w:pPr>
        <w:spacing w:before="120" w:after="60"/>
        <w:jc w:val="both"/>
        <w:rPr>
          <w:sz w:val="19"/>
          <w:szCs w:val="19"/>
        </w:rPr>
      </w:pPr>
      <w:r w:rsidRPr="00136135">
        <w:rPr>
          <w:sz w:val="19"/>
          <w:szCs w:val="19"/>
        </w:rPr>
        <w:t>Temel besleyici özelliklerinin yanında vücutta gösterdiği bir veya birden fazla yararlı hedef fonksiyon ile hastalık riskini azaltıp iyi hal ve sağlığı geliştirici etki gösterebilen, günlük beslenme planı içerisinde yer alıp tüketilebilen; hap, kapsül veya farklı şekillerde bir besin desteği olmayan besinlere fonksiyonel besinler adı verilmekt</w:t>
      </w:r>
      <w:r w:rsidR="006F36D2">
        <w:rPr>
          <w:sz w:val="19"/>
          <w:szCs w:val="19"/>
        </w:rPr>
        <w:t>edir. Fonksiyonel bir besin olarak</w:t>
      </w:r>
      <w:r w:rsidRPr="00136135">
        <w:rPr>
          <w:sz w:val="19"/>
          <w:szCs w:val="19"/>
        </w:rPr>
        <w:t xml:space="preserve"> turunçgiller, bileşiminde bulunan </w:t>
      </w:r>
      <w:r w:rsidR="006F36D2">
        <w:rPr>
          <w:sz w:val="19"/>
          <w:szCs w:val="19"/>
        </w:rPr>
        <w:t>askorbik asit, folik asit, lif</w:t>
      </w:r>
      <w:r w:rsidRPr="00136135">
        <w:rPr>
          <w:sz w:val="19"/>
          <w:szCs w:val="19"/>
        </w:rPr>
        <w:t>, pektin, potasyum, magnezyum, karotenoidler ve flavonoidler ile olumlu sağlık etkileri gösterebilmektedir. Bu bileşenlerin miktarları turunçgil çeşidine, o</w:t>
      </w:r>
      <w:r w:rsidR="006F36D2">
        <w:rPr>
          <w:sz w:val="19"/>
          <w:szCs w:val="19"/>
        </w:rPr>
        <w:t>lgunluğuna, saklama koşullarına ve</w:t>
      </w:r>
      <w:r w:rsidRPr="00136135">
        <w:rPr>
          <w:sz w:val="19"/>
          <w:szCs w:val="19"/>
        </w:rPr>
        <w:t xml:space="preserve"> işleme yöntemlerine göre değişkenlik gösterebilmektedir. Turunçgillerin sağlık üzerine olumlu etkileriyle öne çıkan bileşenleri naringin ve hesperidin flavonoidleridir. Hipertansiyon, hiperglisemi, dislipidemi, protrombotik ve proinflamatuvar faktörler, metabolik sendrom risk faktörleri arasındadır. Turunçgil flavanoidleri hiperglisemi, hiperlipidemi, hipertansiyon, inflamasyon ve vücut ağırlığı denetimi üzerine olumlu etkiler gösterebilmektedirler. Literatürde, turunçgil flavonoid ekstraktlarının kullanıldığı hayvan araştırmaları ve turunçgil tüketiminin dislipidemik etkileriyle ilgili insan araştırmaları öne çıkmaktadır. Bu nedenle günlük beslenme planında turunçgil tüketimi ve metabolik sendromla ilgili önerilerin geliştirilebilmesi için bu konuda daha fazla epidemiyolojik ve deneysel araştırmalar gereklidir.</w:t>
      </w:r>
    </w:p>
    <w:p w:rsidR="00136135" w:rsidRPr="00136135" w:rsidRDefault="00F54466" w:rsidP="00C42DF2">
      <w:pPr>
        <w:spacing w:before="120" w:after="60"/>
        <w:ind w:left="1701" w:hanging="1701"/>
        <w:jc w:val="both"/>
        <w:rPr>
          <w:sz w:val="19"/>
          <w:szCs w:val="19"/>
        </w:rPr>
      </w:pPr>
      <w:r>
        <w:rPr>
          <w:b/>
          <w:noProof/>
          <w:lang w:eastAsia="tr-TR"/>
        </w:rPr>
        <mc:AlternateContent>
          <mc:Choice Requires="wps">
            <w:drawing>
              <wp:anchor distT="0" distB="0" distL="114300" distR="114300" simplePos="0" relativeHeight="251657216" behindDoc="0" locked="0" layoutInCell="1" allowOverlap="1" wp14:anchorId="5138F30D" wp14:editId="10D11CEE">
                <wp:simplePos x="0" y="0"/>
                <wp:positionH relativeFrom="margin">
                  <wp:align>left</wp:align>
                </wp:positionH>
                <wp:positionV relativeFrom="paragraph">
                  <wp:posOffset>444500</wp:posOffset>
                </wp:positionV>
                <wp:extent cx="58483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86AC4" id="_x0000_t32" coordsize="21600,21600" o:spt="32" o:oned="t" path="m,l21600,21600e" filled="f">
                <v:path arrowok="t" fillok="f" o:connecttype="none"/>
                <o:lock v:ext="edit" shapetype="t"/>
              </v:shapetype>
              <v:shape id="AutoShape 6" o:spid="_x0000_s1026" type="#_x0000_t32" style="position:absolute;margin-left:0;margin-top:35pt;width:460.5pt;height:0;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cS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M7z+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Y5lladsAAAAGAQAADwAAAGRycy9kb3ducmV2LnhtbEyPzU7DMBCE&#10;70i8g7VIXBC1EwlK0zhVhcSBI22lXt14mwTidRQ7TejTs1UP9LQ/s5r5Nl9NrhUn7EPjSUMyUyCQ&#10;Sm8bqjTsth/PbyBCNGRN6wk1/GKAVXF/l5vM+pG+8LSJlWATCpnRUMfYZVKGskZnwsx3SKwdfe9M&#10;5LGvpO3NyOaulalSr9KZhjihNh2+11j+bAanAcPwkqj1wlW7z/P4tE/P32O31frxYVovQUSc4v8x&#10;XPAZHQpmOviBbBCtBn4kapgrrqwu0oSbw3Uhi1ze4hd/AAAA//8DAFBLAQItABQABgAIAAAAIQC2&#10;gziS/gAAAOEBAAATAAAAAAAAAAAAAAAAAAAAAABbQ29udGVudF9UeXBlc10ueG1sUEsBAi0AFAAG&#10;AAgAAAAhADj9If/WAAAAlAEAAAsAAAAAAAAAAAAAAAAALwEAAF9yZWxzLy5yZWxzUEsBAi0AFAAG&#10;AAgAAAAhAOPthxIeAgAAOwQAAA4AAAAAAAAAAAAAAAAALgIAAGRycy9lMm9Eb2MueG1sUEsBAi0A&#10;FAAGAAgAAAAhAGOZZWnbAAAABgEAAA8AAAAAAAAAAAAAAAAAeAQAAGRycy9kb3ducmV2LnhtbFBL&#10;BQYAAAAABAAEAPMAAACABQAAAAA=&#10;">
                <w10:wrap anchorx="margin"/>
              </v:shape>
            </w:pict>
          </mc:Fallback>
        </mc:AlternateContent>
      </w:r>
      <w:r w:rsidR="00136135" w:rsidRPr="00136135">
        <w:rPr>
          <w:b/>
          <w:sz w:val="19"/>
          <w:szCs w:val="19"/>
          <w:lang w:val="de-DE"/>
        </w:rPr>
        <w:t xml:space="preserve">Anahtar Kelimeler: </w:t>
      </w:r>
      <w:r w:rsidR="00136135" w:rsidRPr="00136135">
        <w:rPr>
          <w:sz w:val="19"/>
          <w:szCs w:val="19"/>
        </w:rPr>
        <w:t>Turunçgil, Abdominal obezite, Metabolik sendrom, Hesperidin</w:t>
      </w:r>
    </w:p>
    <w:p w:rsidR="005F38C8" w:rsidRPr="00136135" w:rsidRDefault="005F38C8" w:rsidP="001E6087">
      <w:pPr>
        <w:spacing w:before="240" w:after="60"/>
        <w:rPr>
          <w:b/>
          <w:sz w:val="20"/>
          <w:szCs w:val="20"/>
        </w:rPr>
      </w:pPr>
      <w:r w:rsidRPr="00136135">
        <w:rPr>
          <w:b/>
          <w:sz w:val="20"/>
          <w:szCs w:val="20"/>
        </w:rPr>
        <w:t xml:space="preserve">Abstract: </w:t>
      </w:r>
    </w:p>
    <w:p w:rsidR="00136135" w:rsidRPr="00136135" w:rsidRDefault="00136135" w:rsidP="00136135">
      <w:pPr>
        <w:autoSpaceDE w:val="0"/>
        <w:autoSpaceDN w:val="0"/>
        <w:adjustRightInd w:val="0"/>
        <w:spacing w:before="120" w:after="60"/>
        <w:rPr>
          <w:b/>
          <w:sz w:val="20"/>
          <w:szCs w:val="20"/>
        </w:rPr>
      </w:pPr>
      <w:r>
        <w:rPr>
          <w:b/>
          <w:sz w:val="20"/>
          <w:szCs w:val="20"/>
        </w:rPr>
        <w:t>CITRUS FRUITS AS A FUNCTIONAL FOOD AND THE RELATION WITH METABOLI</w:t>
      </w:r>
      <w:r w:rsidRPr="00136135">
        <w:rPr>
          <w:b/>
          <w:sz w:val="20"/>
          <w:szCs w:val="20"/>
        </w:rPr>
        <w:t>C SYNDROME</w:t>
      </w:r>
    </w:p>
    <w:p w:rsidR="00136135" w:rsidRPr="00136135" w:rsidRDefault="00136135" w:rsidP="00136135">
      <w:pPr>
        <w:jc w:val="both"/>
        <w:rPr>
          <w:sz w:val="19"/>
          <w:szCs w:val="19"/>
        </w:rPr>
      </w:pPr>
      <w:r w:rsidRPr="00136135">
        <w:rPr>
          <w:sz w:val="19"/>
          <w:szCs w:val="19"/>
        </w:rPr>
        <w:t xml:space="preserve">Functional food is a food of daily diet which have at least one </w:t>
      </w:r>
      <w:r w:rsidRPr="006F36D2">
        <w:rPr>
          <w:sz w:val="19"/>
          <w:szCs w:val="19"/>
        </w:rPr>
        <w:t>target function in the body besides its’ nutritional properties and can decrease disease risk and improve health and wellness. Functional food is not a pill, capsule or any type of nutritional support. Citrus fruits</w:t>
      </w:r>
      <w:r w:rsidR="006F36D2" w:rsidRPr="006F36D2">
        <w:rPr>
          <w:sz w:val="19"/>
          <w:szCs w:val="19"/>
        </w:rPr>
        <w:t xml:space="preserve"> </w:t>
      </w:r>
      <w:r w:rsidR="006F36D2" w:rsidRPr="006F36D2">
        <w:rPr>
          <w:color w:val="000000"/>
          <w:sz w:val="19"/>
          <w:szCs w:val="19"/>
          <w:lang w:eastAsia="tr-TR"/>
        </w:rPr>
        <w:t>as a functional food</w:t>
      </w:r>
      <w:r w:rsidRPr="006F36D2">
        <w:rPr>
          <w:sz w:val="19"/>
          <w:szCs w:val="19"/>
        </w:rPr>
        <w:t xml:space="preserve"> have beneficial health effects related with their conponents such as ascorbic acid, folic acid, dietary fiber, pectin, potassium, magnesium, carotenoids and flavonoids. The amount of these components depends on type of citrus fruit, ripeness, storage conditions and process methods. The prominent components</w:t>
      </w:r>
      <w:r w:rsidRPr="00136135">
        <w:rPr>
          <w:sz w:val="19"/>
          <w:szCs w:val="19"/>
        </w:rPr>
        <w:t xml:space="preserve"> of citrus fruits are known as naringin and hesperidin flavonoids. Hypertension, hyperglycemia, dyslipidemia, protrombotic and proinflammatuary factors are the important risk factors of metabolic syndrome. Citrus flavonoids have beneficial effects on hyperglycemia, hyperlipidemia, hypertension, inflammation and body weight management. In the literatur, the studies mostly featured on the animal studies related with citrus flavonoid extracts and human studies on beneficial effects of citrus fruits consumption on dyslipidemia. Therefore, there is a need to more epidemiological and experimental studies on citrus fruits consumption recommendations in relation with metabolic syndrome.</w:t>
      </w:r>
    </w:p>
    <w:p w:rsidR="00711758" w:rsidRPr="00136135" w:rsidRDefault="001E6087" w:rsidP="00F72F2E">
      <w:pPr>
        <w:spacing w:before="120" w:after="120"/>
        <w:ind w:left="993" w:hanging="993"/>
        <w:jc w:val="both"/>
        <w:rPr>
          <w:bCs/>
          <w:sz w:val="19"/>
          <w:szCs w:val="19"/>
          <w:lang w:val="en-US"/>
        </w:rPr>
      </w:pPr>
      <w:r w:rsidRPr="00136135">
        <w:rPr>
          <w:b/>
          <w:color w:val="000000"/>
          <w:sz w:val="19"/>
          <w:szCs w:val="19"/>
        </w:rPr>
        <w:t>Keywords:</w:t>
      </w:r>
      <w:r w:rsidR="00136135" w:rsidRPr="00136135">
        <w:rPr>
          <w:color w:val="000000"/>
          <w:sz w:val="19"/>
          <w:szCs w:val="19"/>
        </w:rPr>
        <w:tab/>
      </w:r>
      <w:r w:rsidR="00136135" w:rsidRPr="00136135">
        <w:rPr>
          <w:sz w:val="19"/>
          <w:szCs w:val="19"/>
        </w:rPr>
        <w:t>Citrus, Abdominal obesity</w:t>
      </w:r>
      <w:r w:rsidR="00136135" w:rsidRPr="00136135">
        <w:rPr>
          <w:color w:val="0070C0"/>
          <w:sz w:val="19"/>
          <w:szCs w:val="19"/>
          <w:shd w:val="clear" w:color="auto" w:fill="FFFFFF" w:themeFill="background1"/>
        </w:rPr>
        <w:t>,</w:t>
      </w:r>
      <w:r w:rsidR="00136135" w:rsidRPr="00136135">
        <w:rPr>
          <w:b/>
          <w:sz w:val="19"/>
          <w:szCs w:val="19"/>
          <w:shd w:val="clear" w:color="auto" w:fill="FFFFFF" w:themeFill="background1"/>
        </w:rPr>
        <w:t xml:space="preserve"> </w:t>
      </w:r>
      <w:r w:rsidR="00136135" w:rsidRPr="00136135">
        <w:rPr>
          <w:sz w:val="19"/>
          <w:szCs w:val="19"/>
        </w:rPr>
        <w:t>Metabolic syndrome, Hesperidin</w:t>
      </w:r>
    </w:p>
    <w:p w:rsidR="001E6087" w:rsidRPr="001E6087" w:rsidRDefault="001E6087" w:rsidP="001E6087">
      <w:pPr>
        <w:spacing w:after="120"/>
        <w:jc w:val="both"/>
        <w:rPr>
          <w:sz w:val="20"/>
          <w:szCs w:val="20"/>
          <w:lang w:val="en-US"/>
        </w:rPr>
        <w:sectPr w:rsidR="001E6087" w:rsidRPr="001E6087" w:rsidSect="003C68CE">
          <w:type w:val="continuous"/>
          <w:pgSz w:w="11906" w:h="16838" w:code="9"/>
          <w:pgMar w:top="1417" w:right="1417" w:bottom="1417" w:left="1417" w:header="709" w:footer="709" w:gutter="0"/>
          <w:pgNumType w:start="104"/>
          <w:cols w:num="2" w:space="284"/>
          <w:titlePg/>
          <w:docGrid w:linePitch="360"/>
        </w:sectPr>
      </w:pPr>
    </w:p>
    <w:p w:rsidR="00711758" w:rsidRPr="00845D9A" w:rsidRDefault="00711758" w:rsidP="00EF5CB7">
      <w:pPr>
        <w:jc w:val="both"/>
        <w:rPr>
          <w:b/>
          <w:sz w:val="18"/>
          <w:szCs w:val="18"/>
        </w:rPr>
        <w:sectPr w:rsidR="00711758" w:rsidRPr="00845D9A" w:rsidSect="00B277F0">
          <w:type w:val="continuous"/>
          <w:pgSz w:w="11906" w:h="16838" w:code="9"/>
          <w:pgMar w:top="1417" w:right="1417" w:bottom="1417" w:left="1417" w:header="709" w:footer="709" w:gutter="0"/>
          <w:pgNumType w:start="153"/>
          <w:cols w:space="284"/>
          <w:titlePg/>
          <w:docGrid w:linePitch="360"/>
        </w:sectPr>
      </w:pPr>
    </w:p>
    <w:p w:rsidR="001E6087" w:rsidRPr="003D59D1" w:rsidRDefault="003D59D1" w:rsidP="001E6087">
      <w:pPr>
        <w:spacing w:before="120" w:after="60"/>
        <w:jc w:val="both"/>
        <w:rPr>
          <w:b/>
        </w:rPr>
      </w:pPr>
      <w:r w:rsidRPr="003D59D1">
        <w:rPr>
          <w:b/>
          <w:sz w:val="26"/>
          <w:szCs w:val="26"/>
        </w:rPr>
        <w:lastRenderedPageBreak/>
        <w:t>Giriş</w:t>
      </w:r>
    </w:p>
    <w:p w:rsidR="00B33F23" w:rsidRPr="00093DC5" w:rsidRDefault="00B33F23" w:rsidP="0069694D">
      <w:pPr>
        <w:spacing w:before="120" w:afterLines="60" w:after="144"/>
        <w:rPr>
          <w:b/>
          <w:sz w:val="26"/>
          <w:szCs w:val="26"/>
        </w:rPr>
        <w:sectPr w:rsidR="00B33F23" w:rsidRPr="00093DC5" w:rsidSect="002773F1">
          <w:type w:val="continuous"/>
          <w:pgSz w:w="11906" w:h="16838" w:code="9"/>
          <w:pgMar w:top="1417" w:right="1417" w:bottom="1417" w:left="1417" w:header="709" w:footer="709" w:gutter="0"/>
          <w:pgNumType w:start="50"/>
          <w:cols w:space="284"/>
          <w:docGrid w:linePitch="360"/>
        </w:sectPr>
      </w:pPr>
    </w:p>
    <w:p w:rsidR="003D59D1" w:rsidRPr="003D59D1" w:rsidRDefault="003D59D1" w:rsidP="003D59D1">
      <w:pPr>
        <w:tabs>
          <w:tab w:val="left" w:pos="851"/>
        </w:tabs>
        <w:spacing w:before="120" w:after="60"/>
        <w:jc w:val="both"/>
        <w:rPr>
          <w:sz w:val="22"/>
          <w:szCs w:val="22"/>
          <w:vertAlign w:val="superscript"/>
        </w:rPr>
      </w:pPr>
      <w:r w:rsidRPr="003D59D1">
        <w:rPr>
          <w:sz w:val="22"/>
          <w:szCs w:val="22"/>
        </w:rPr>
        <w:t xml:space="preserve">Metabolik </w:t>
      </w:r>
      <w:proofErr w:type="gramStart"/>
      <w:r w:rsidRPr="003D59D1">
        <w:rPr>
          <w:sz w:val="22"/>
          <w:szCs w:val="22"/>
        </w:rPr>
        <w:t>sendrom</w:t>
      </w:r>
      <w:proofErr w:type="gramEnd"/>
      <w:r w:rsidRPr="003D59D1">
        <w:rPr>
          <w:sz w:val="22"/>
          <w:szCs w:val="22"/>
        </w:rPr>
        <w:t xml:space="preserve"> (MeS), insülin direnciyle başlayan abdominal obezite, hiperglisemi, dislipidemi, hipertansiyon ve koroner arter hastalığı gibi sistemik bozukluklarının tümünü birlikte kapsayan bir endokrinopatidir (Arslan ve diğerleri, 2009). </w:t>
      </w:r>
      <w:r w:rsidRPr="003D59D1">
        <w:rPr>
          <w:sz w:val="22"/>
          <w:szCs w:val="22"/>
          <w:vertAlign w:val="superscript"/>
        </w:rPr>
        <w:t xml:space="preserve"> </w:t>
      </w:r>
      <w:r w:rsidRPr="003D59D1">
        <w:rPr>
          <w:sz w:val="22"/>
          <w:szCs w:val="22"/>
        </w:rPr>
        <w:t xml:space="preserve">Abdominal obezitede viseral adipositlerden salgılanan leptin, rezistin, interlökin (IL) - 6, tümör nekroz faktörü (TNF) - α ve plazminojen aktivatör inhibitör (PAI) - 1 gibi metabolik olarak aktif moleküller, insülin direnciyle ilişkili olup metabolik </w:t>
      </w:r>
      <w:proofErr w:type="gramStart"/>
      <w:r w:rsidRPr="003D59D1">
        <w:rPr>
          <w:sz w:val="22"/>
          <w:szCs w:val="22"/>
        </w:rPr>
        <w:t>sendrom</w:t>
      </w:r>
      <w:proofErr w:type="gramEnd"/>
      <w:r w:rsidRPr="003D59D1">
        <w:rPr>
          <w:sz w:val="22"/>
          <w:szCs w:val="22"/>
        </w:rPr>
        <w:t xml:space="preserve"> için önemli etmenlerdir. Abdominal obeziteyle hücrelerin insülin aracılı glikoz alımı azalmakta, yağ dokusundan esterleşmemiş yağ asidi salınımı olmakta, kas ve karaciğerde yağlanma meydana gelmekte böylelikle dislipidemi ve insülin direncinin ortaya çıkması kolaylaşmaktadır (Huang, 2009).</w:t>
      </w:r>
    </w:p>
    <w:p w:rsidR="003D59D1" w:rsidRPr="003D59D1" w:rsidRDefault="003D59D1" w:rsidP="003D59D1">
      <w:pPr>
        <w:tabs>
          <w:tab w:val="left" w:pos="851"/>
        </w:tabs>
        <w:spacing w:before="120" w:after="60"/>
        <w:jc w:val="both"/>
        <w:rPr>
          <w:b/>
          <w:sz w:val="22"/>
          <w:szCs w:val="22"/>
          <w:vertAlign w:val="superscript"/>
        </w:rPr>
      </w:pPr>
      <w:r w:rsidRPr="003D59D1">
        <w:rPr>
          <w:sz w:val="22"/>
          <w:szCs w:val="22"/>
        </w:rPr>
        <w:t xml:space="preserve">Uluslararası Diyabet Federasyonu’nu 2005 yılında ATP III tanımlamasını güncelleyerek abdominal obezite varlığına ek olarak ATP III tanımlama listesindeki </w:t>
      </w:r>
      <w:proofErr w:type="gramStart"/>
      <w:r w:rsidRPr="003D59D1">
        <w:rPr>
          <w:sz w:val="22"/>
          <w:szCs w:val="22"/>
        </w:rPr>
        <w:t>kriterlerden</w:t>
      </w:r>
      <w:proofErr w:type="gramEnd"/>
      <w:r w:rsidRPr="003D59D1">
        <w:rPr>
          <w:sz w:val="22"/>
          <w:szCs w:val="22"/>
        </w:rPr>
        <w:t xml:space="preserve"> en az iki tanesinin daha varlığı durumunda MeS tanısı konulabileceğini belirlemiştir. Ayrıca, abdominal obezite ile diğer MeS risk faktörleri arasındaki </w:t>
      </w:r>
      <w:proofErr w:type="gramStart"/>
      <w:r w:rsidRPr="003D59D1">
        <w:rPr>
          <w:sz w:val="22"/>
          <w:szCs w:val="22"/>
        </w:rPr>
        <w:t>korelasyonda</w:t>
      </w:r>
      <w:proofErr w:type="gramEnd"/>
      <w:r w:rsidRPr="003D59D1">
        <w:rPr>
          <w:sz w:val="22"/>
          <w:szCs w:val="22"/>
        </w:rPr>
        <w:t xml:space="preserve"> etnik farklılıklara da önem verilmiştir. Buna göre bel çevresinin her etnik grubun ortalama değerlerine göre belirlenmesinin uygun olacağı belirtilmiştir (Arslan ve diğerleri, 2009). Türkiye’de Erişkinlerde Kalp Hastalığı ve Risk Faktörleri Çalışmas</w:t>
      </w:r>
      <w:r w:rsidR="006F36D2">
        <w:rPr>
          <w:sz w:val="22"/>
          <w:szCs w:val="22"/>
        </w:rPr>
        <w:t>ı 2003 yılı sonuçlarına göre Me</w:t>
      </w:r>
      <w:r w:rsidRPr="003D59D1">
        <w:rPr>
          <w:sz w:val="22"/>
          <w:szCs w:val="22"/>
        </w:rPr>
        <w:t>S sıklığı</w:t>
      </w:r>
      <w:r w:rsidR="006F36D2">
        <w:rPr>
          <w:sz w:val="22"/>
          <w:szCs w:val="22"/>
        </w:rPr>
        <w:t>nın</w:t>
      </w:r>
      <w:r w:rsidRPr="003D59D1">
        <w:rPr>
          <w:sz w:val="22"/>
          <w:szCs w:val="22"/>
        </w:rPr>
        <w:t xml:space="preserve"> ≥30 yaş kadınlarda %</w:t>
      </w:r>
      <w:proofErr w:type="gramStart"/>
      <w:r w:rsidRPr="003D59D1">
        <w:rPr>
          <w:sz w:val="22"/>
          <w:szCs w:val="22"/>
        </w:rPr>
        <w:t>45.2</w:t>
      </w:r>
      <w:proofErr w:type="gramEnd"/>
      <w:r w:rsidRPr="003D59D1">
        <w:rPr>
          <w:sz w:val="22"/>
          <w:szCs w:val="22"/>
        </w:rPr>
        <w:t>, erkeklerde %27’dir. Türkiye Metabolik Sendrom Araştırması</w:t>
      </w:r>
      <w:r w:rsidR="006F36D2">
        <w:rPr>
          <w:sz w:val="22"/>
          <w:szCs w:val="22"/>
        </w:rPr>
        <w:t xml:space="preserve"> 2004 yılı</w:t>
      </w:r>
      <w:r w:rsidRPr="003D59D1">
        <w:rPr>
          <w:sz w:val="22"/>
          <w:szCs w:val="22"/>
        </w:rPr>
        <w:t xml:space="preserve"> sonuçlarına göre, 20 ya</w:t>
      </w:r>
      <w:r w:rsidR="006F36D2">
        <w:rPr>
          <w:sz w:val="22"/>
          <w:szCs w:val="22"/>
        </w:rPr>
        <w:t>ş ve üzerindeki erişkinlerde Me</w:t>
      </w:r>
      <w:r w:rsidRPr="003D59D1">
        <w:rPr>
          <w:sz w:val="22"/>
          <w:szCs w:val="22"/>
        </w:rPr>
        <w:t>S sıklığı kadınlarda (%</w:t>
      </w:r>
      <w:proofErr w:type="gramStart"/>
      <w:r w:rsidRPr="003D59D1">
        <w:rPr>
          <w:sz w:val="22"/>
          <w:szCs w:val="22"/>
        </w:rPr>
        <w:t>39.8</w:t>
      </w:r>
      <w:proofErr w:type="gramEnd"/>
      <w:r w:rsidRPr="003D59D1">
        <w:rPr>
          <w:sz w:val="22"/>
          <w:szCs w:val="22"/>
        </w:rPr>
        <w:t>) erkeklere (%28</w:t>
      </w:r>
      <w:r w:rsidR="006F36D2">
        <w:rPr>
          <w:sz w:val="22"/>
          <w:szCs w:val="22"/>
        </w:rPr>
        <w:t>.0</w:t>
      </w:r>
      <w:r w:rsidRPr="003D59D1">
        <w:rPr>
          <w:sz w:val="22"/>
          <w:szCs w:val="22"/>
        </w:rPr>
        <w:t>) göre daha yüksek olduğu belirlenmiştir. Türkiye Kronik Hastalıklar ve Risk Faktörleri Sıklığı Çalışması sonuçlarına göre MeS sıklığı  ≥20 yaş k</w:t>
      </w:r>
      <w:r w:rsidR="006F36D2">
        <w:rPr>
          <w:sz w:val="22"/>
          <w:szCs w:val="22"/>
        </w:rPr>
        <w:t>adınlarda %</w:t>
      </w:r>
      <w:proofErr w:type="gramStart"/>
      <w:r w:rsidR="006F36D2">
        <w:rPr>
          <w:sz w:val="22"/>
          <w:szCs w:val="22"/>
        </w:rPr>
        <w:t>35.6</w:t>
      </w:r>
      <w:proofErr w:type="gramEnd"/>
      <w:r w:rsidR="006F36D2">
        <w:rPr>
          <w:sz w:val="22"/>
          <w:szCs w:val="22"/>
        </w:rPr>
        <w:t>, erkeklerde %16.</w:t>
      </w:r>
      <w:r w:rsidRPr="003D59D1">
        <w:rPr>
          <w:sz w:val="22"/>
          <w:szCs w:val="22"/>
        </w:rPr>
        <w:t>7 olarak saptanmıştır (Sözmen, 2013).</w:t>
      </w:r>
    </w:p>
    <w:p w:rsidR="003D59D1" w:rsidRPr="003D59D1" w:rsidRDefault="003D59D1" w:rsidP="003D59D1">
      <w:pPr>
        <w:spacing w:before="120" w:after="60"/>
        <w:jc w:val="both"/>
        <w:rPr>
          <w:sz w:val="22"/>
          <w:szCs w:val="22"/>
        </w:rPr>
      </w:pPr>
      <w:r w:rsidRPr="003D59D1">
        <w:rPr>
          <w:sz w:val="22"/>
          <w:szCs w:val="22"/>
        </w:rPr>
        <w:t>Temel besleyici özelliklerinin yanında vücutta gösterdiği bir veya birden fazla yararlı hedef foksiyon ile hastalık riskini azaltıp iyi hal ve sağlığı geliştirici etki gösterebilen, günlük beslenme planı içerisinde yer alıp tüketilebilen; hap, kapsül veya farklı şekillerde bir besin desteği olmayan besinlere fonksiyonel besin adı verilmektedir</w:t>
      </w:r>
      <w:r w:rsidRPr="003D59D1">
        <w:rPr>
          <w:rFonts w:eastAsiaTheme="minorHAnsi"/>
          <w:sz w:val="22"/>
          <w:szCs w:val="22"/>
        </w:rPr>
        <w:t xml:space="preserve"> </w:t>
      </w:r>
      <w:sdt>
        <w:sdtPr>
          <w:rPr>
            <w:sz w:val="22"/>
            <w:szCs w:val="22"/>
          </w:rPr>
          <w:id w:val="-1529018655"/>
          <w:citation/>
        </w:sdtPr>
        <w:sdtEndPr/>
        <w:sdtContent>
          <w:r w:rsidRPr="003D59D1">
            <w:rPr>
              <w:sz w:val="22"/>
              <w:szCs w:val="22"/>
            </w:rPr>
            <w:fldChar w:fldCharType="begin"/>
          </w:r>
          <w:r w:rsidRPr="003D59D1">
            <w:rPr>
              <w:sz w:val="22"/>
              <w:szCs w:val="22"/>
            </w:rPr>
            <w:instrText xml:space="preserve"> CITATION TCo051 \l 1055 </w:instrText>
          </w:r>
          <w:r w:rsidRPr="003D59D1">
            <w:rPr>
              <w:sz w:val="22"/>
              <w:szCs w:val="22"/>
            </w:rPr>
            <w:fldChar w:fldCharType="separate"/>
          </w:r>
          <w:r w:rsidRPr="003D59D1">
            <w:rPr>
              <w:sz w:val="22"/>
              <w:szCs w:val="22"/>
            </w:rPr>
            <w:t>(Coşkun, 2005)</w:t>
          </w:r>
          <w:r w:rsidRPr="003D59D1">
            <w:rPr>
              <w:sz w:val="22"/>
              <w:szCs w:val="22"/>
            </w:rPr>
            <w:fldChar w:fldCharType="end"/>
          </w:r>
        </w:sdtContent>
      </w:sdt>
      <w:r w:rsidR="006F36D2">
        <w:rPr>
          <w:sz w:val="22"/>
          <w:szCs w:val="22"/>
        </w:rPr>
        <w:t>. Fonksiyonel bir besin olarak</w:t>
      </w:r>
      <w:r w:rsidRPr="003D59D1">
        <w:rPr>
          <w:sz w:val="22"/>
          <w:szCs w:val="22"/>
        </w:rPr>
        <w:t xml:space="preserve"> turunçgiller, bileşiminde bulunan </w:t>
      </w:r>
      <w:r w:rsidR="006F36D2">
        <w:rPr>
          <w:sz w:val="22"/>
          <w:szCs w:val="22"/>
        </w:rPr>
        <w:t>askorbik asit, folik asit, lif</w:t>
      </w:r>
      <w:r w:rsidRPr="003D59D1">
        <w:rPr>
          <w:sz w:val="22"/>
          <w:szCs w:val="22"/>
        </w:rPr>
        <w:t>, pektin, potasyum, magnezyum, karotenoidler ve flavonoidler ile olumlu sağlık etkileri gösterebilmektedir</w:t>
      </w:r>
      <w:r w:rsidRPr="003D59D1">
        <w:rPr>
          <w:rFonts w:eastAsiaTheme="minorHAnsi"/>
          <w:sz w:val="22"/>
          <w:szCs w:val="22"/>
        </w:rPr>
        <w:t xml:space="preserve"> </w:t>
      </w:r>
      <w:sdt>
        <w:sdtPr>
          <w:rPr>
            <w:sz w:val="22"/>
            <w:szCs w:val="22"/>
          </w:rPr>
          <w:id w:val="-1762051470"/>
          <w:citation/>
        </w:sdtPr>
        <w:sdtEndPr/>
        <w:sdtContent>
          <w:r w:rsidRPr="003D59D1">
            <w:rPr>
              <w:sz w:val="22"/>
              <w:szCs w:val="22"/>
            </w:rPr>
            <w:fldChar w:fldCharType="begin"/>
          </w:r>
          <w:r w:rsidRPr="003D59D1">
            <w:rPr>
              <w:sz w:val="22"/>
              <w:szCs w:val="22"/>
            </w:rPr>
            <w:instrText xml:space="preserve"> CITATION ASa14 \l 1055 </w:instrText>
          </w:r>
          <w:r w:rsidRPr="003D59D1">
            <w:rPr>
              <w:sz w:val="22"/>
              <w:szCs w:val="22"/>
            </w:rPr>
            <w:fldChar w:fldCharType="separate"/>
          </w:r>
          <w:r w:rsidRPr="003D59D1">
            <w:rPr>
              <w:sz w:val="22"/>
              <w:szCs w:val="22"/>
            </w:rPr>
            <w:t>(Sanofer, 2014)</w:t>
          </w:r>
          <w:r w:rsidRPr="003D59D1">
            <w:rPr>
              <w:sz w:val="22"/>
              <w:szCs w:val="22"/>
            </w:rPr>
            <w:fldChar w:fldCharType="end"/>
          </w:r>
        </w:sdtContent>
      </w:sdt>
      <w:r w:rsidRPr="003D59D1">
        <w:rPr>
          <w:sz w:val="22"/>
          <w:szCs w:val="22"/>
        </w:rPr>
        <w:t>. Turunçgil flavonoidler</w:t>
      </w:r>
      <w:r w:rsidR="002773F1">
        <w:rPr>
          <w:sz w:val="22"/>
          <w:szCs w:val="22"/>
        </w:rPr>
        <w:t>in</w:t>
      </w:r>
      <w:r w:rsidRPr="003D59D1">
        <w:rPr>
          <w:sz w:val="22"/>
          <w:szCs w:val="22"/>
        </w:rPr>
        <w:t xml:space="preserve">den naringin, naringenin, nobiletin, narirutin, </w:t>
      </w:r>
      <w:r w:rsidRPr="003D59D1">
        <w:rPr>
          <w:sz w:val="22"/>
          <w:szCs w:val="22"/>
        </w:rPr>
        <w:t xml:space="preserve">tangeretin ve hesperidinin; anti-inflamatuvar, anti-allerjik, anti-karsinojenik, anti-diyabetik, anti-hipertansif, anti-viral, anti-oksidatif ve hipolipidemik etki gösterebildikleri bildirilmektedir (Assini, Muhvihill &amp; Huff, 2013; Alam ve diğerleri, 2014). Bu derleme yazıda fonksiyonel bir besin olarak turunçgillerin bileşimi ve metabolik </w:t>
      </w:r>
      <w:proofErr w:type="gramStart"/>
      <w:r w:rsidRPr="003D59D1">
        <w:rPr>
          <w:sz w:val="22"/>
          <w:szCs w:val="22"/>
        </w:rPr>
        <w:t>sendrom</w:t>
      </w:r>
      <w:proofErr w:type="gramEnd"/>
      <w:r w:rsidRPr="003D59D1">
        <w:rPr>
          <w:sz w:val="22"/>
          <w:szCs w:val="22"/>
        </w:rPr>
        <w:t xml:space="preserve"> ile ilişkisinin değerlendirilmesi hedeflenmiştir.</w:t>
      </w:r>
    </w:p>
    <w:p w:rsidR="003D59D1" w:rsidRPr="003D59D1" w:rsidRDefault="003D59D1" w:rsidP="003D59D1">
      <w:pPr>
        <w:spacing w:before="120" w:after="60"/>
        <w:rPr>
          <w:b/>
        </w:rPr>
      </w:pPr>
      <w:bookmarkStart w:id="0" w:name="_Toc422484073"/>
      <w:r w:rsidRPr="003D59D1">
        <w:rPr>
          <w:b/>
        </w:rPr>
        <w:t>Turunçgiller</w:t>
      </w:r>
      <w:bookmarkEnd w:id="0"/>
    </w:p>
    <w:p w:rsidR="003D59D1" w:rsidRPr="003D59D1" w:rsidRDefault="003D59D1" w:rsidP="003D59D1">
      <w:pPr>
        <w:tabs>
          <w:tab w:val="left" w:pos="851"/>
        </w:tabs>
        <w:spacing w:before="120" w:after="60"/>
        <w:jc w:val="both"/>
        <w:rPr>
          <w:b/>
          <w:sz w:val="22"/>
          <w:szCs w:val="22"/>
          <w:vertAlign w:val="superscript"/>
        </w:rPr>
      </w:pPr>
      <w:r w:rsidRPr="003D59D1">
        <w:rPr>
          <w:sz w:val="22"/>
          <w:szCs w:val="22"/>
        </w:rPr>
        <w:t xml:space="preserve">Turunçgiller, Rutaceae familyasının Aurantoideae alt-familyasındandır. Birçok türü olmasına rağmen, tarımı yapılan en önemli turunçgiller </w:t>
      </w:r>
      <w:r w:rsidRPr="003D59D1">
        <w:rPr>
          <w:i/>
          <w:sz w:val="22"/>
          <w:szCs w:val="22"/>
        </w:rPr>
        <w:t>C. limon</w:t>
      </w:r>
      <w:r w:rsidRPr="003D59D1">
        <w:rPr>
          <w:sz w:val="22"/>
          <w:szCs w:val="22"/>
        </w:rPr>
        <w:t xml:space="preserve"> (limon), </w:t>
      </w:r>
      <w:r w:rsidRPr="003D59D1">
        <w:rPr>
          <w:i/>
          <w:sz w:val="22"/>
          <w:szCs w:val="22"/>
        </w:rPr>
        <w:t>C. aurantifolia</w:t>
      </w:r>
      <w:r w:rsidRPr="003D59D1">
        <w:rPr>
          <w:sz w:val="22"/>
          <w:szCs w:val="22"/>
        </w:rPr>
        <w:t xml:space="preserve"> (misket limon), </w:t>
      </w:r>
      <w:r w:rsidRPr="003D59D1">
        <w:rPr>
          <w:i/>
          <w:sz w:val="22"/>
          <w:szCs w:val="22"/>
        </w:rPr>
        <w:t>C. aurantium</w:t>
      </w:r>
      <w:r w:rsidRPr="003D59D1">
        <w:rPr>
          <w:sz w:val="22"/>
          <w:szCs w:val="22"/>
        </w:rPr>
        <w:t xml:space="preserve"> (turunç), </w:t>
      </w:r>
      <w:r w:rsidRPr="003D59D1">
        <w:rPr>
          <w:i/>
          <w:sz w:val="22"/>
          <w:szCs w:val="22"/>
        </w:rPr>
        <w:t>C. sinensis</w:t>
      </w:r>
      <w:r w:rsidRPr="003D59D1">
        <w:rPr>
          <w:sz w:val="22"/>
          <w:szCs w:val="22"/>
        </w:rPr>
        <w:t xml:space="preserve"> (portakal), </w:t>
      </w:r>
      <w:r w:rsidRPr="003D59D1">
        <w:rPr>
          <w:i/>
          <w:sz w:val="22"/>
          <w:szCs w:val="22"/>
        </w:rPr>
        <w:t>C. reticulata</w:t>
      </w:r>
      <w:r w:rsidRPr="003D59D1">
        <w:rPr>
          <w:sz w:val="22"/>
          <w:szCs w:val="22"/>
        </w:rPr>
        <w:t xml:space="preserve"> (mandalina), </w:t>
      </w:r>
      <w:r w:rsidRPr="003D59D1">
        <w:rPr>
          <w:i/>
          <w:sz w:val="22"/>
          <w:szCs w:val="22"/>
        </w:rPr>
        <w:t>C. grandis</w:t>
      </w:r>
      <w:r w:rsidRPr="003D59D1">
        <w:rPr>
          <w:sz w:val="22"/>
          <w:szCs w:val="22"/>
        </w:rPr>
        <w:t xml:space="preserve"> ya da </w:t>
      </w:r>
      <w:r w:rsidRPr="003D59D1">
        <w:rPr>
          <w:i/>
          <w:sz w:val="22"/>
          <w:szCs w:val="22"/>
        </w:rPr>
        <w:t>C. maxima</w:t>
      </w:r>
      <w:r w:rsidRPr="003D59D1">
        <w:rPr>
          <w:sz w:val="22"/>
          <w:szCs w:val="22"/>
        </w:rPr>
        <w:t xml:space="preserve"> (pomelo), </w:t>
      </w:r>
      <w:r w:rsidRPr="003D59D1">
        <w:rPr>
          <w:i/>
          <w:sz w:val="22"/>
          <w:szCs w:val="22"/>
        </w:rPr>
        <w:t>C. paradisi</w:t>
      </w:r>
      <w:r w:rsidRPr="003D59D1">
        <w:rPr>
          <w:sz w:val="22"/>
          <w:szCs w:val="22"/>
        </w:rPr>
        <w:t xml:space="preserve"> (greyfurt) ve </w:t>
      </w:r>
      <w:r w:rsidRPr="003D59D1">
        <w:rPr>
          <w:i/>
          <w:sz w:val="22"/>
          <w:szCs w:val="22"/>
        </w:rPr>
        <w:t>C. bergamia</w:t>
      </w:r>
      <w:r w:rsidRPr="003D59D1">
        <w:rPr>
          <w:sz w:val="22"/>
          <w:szCs w:val="22"/>
        </w:rPr>
        <w:t xml:space="preserve"> (bergamot)’</w:t>
      </w:r>
      <w:proofErr w:type="gramStart"/>
      <w:r w:rsidRPr="003D59D1">
        <w:rPr>
          <w:sz w:val="22"/>
          <w:szCs w:val="22"/>
        </w:rPr>
        <w:t>dır</w:t>
      </w:r>
      <w:proofErr w:type="gramEnd"/>
      <w:r w:rsidRPr="003D59D1">
        <w:rPr>
          <w:sz w:val="22"/>
          <w:szCs w:val="22"/>
        </w:rPr>
        <w:t>. Kökeni Güneydoğu Asya olan turunçgillerin, çağdaş anlamda üretimi 19. yüzyılda Amerika Birleşik Devletleri (ABD)</w:t>
      </w:r>
      <w:proofErr w:type="gramStart"/>
      <w:r w:rsidRPr="003D59D1">
        <w:rPr>
          <w:sz w:val="22"/>
          <w:szCs w:val="22"/>
        </w:rPr>
        <w:t>`</w:t>
      </w:r>
      <w:proofErr w:type="gramEnd"/>
      <w:r w:rsidRPr="003D59D1">
        <w:rPr>
          <w:sz w:val="22"/>
          <w:szCs w:val="22"/>
        </w:rPr>
        <w:t>nde başlamış ve hızla yayılmıştır. Turunçgil yetiştiriciliği dünyada 40 derece kuzey enlemi ile 40 derece güney enlemi arasında yapılmaktadır. Turunçgiller dünyada en çok yetiştirilen ve tüketilen meyve grubu olarak bilinmektedir. Dünya turunçgil üretiminde 2014 yılında Çin, Brezilya ve ABD ilk üç sırada olup, Türkiye 3782 milyon ton üretimiyle sekizinci sırada yer almaktadır (Food and Agriculture Organisation, 2015).</w:t>
      </w:r>
      <w:r w:rsidRPr="003D59D1">
        <w:rPr>
          <w:rFonts w:ascii="Verdana" w:hAnsi="Verdana"/>
          <w:sz w:val="22"/>
          <w:szCs w:val="22"/>
          <w:shd w:val="clear" w:color="auto" w:fill="FFFFFF"/>
        </w:rPr>
        <w:t xml:space="preserve"> </w:t>
      </w:r>
      <w:r w:rsidRPr="003D59D1">
        <w:rPr>
          <w:sz w:val="22"/>
          <w:szCs w:val="22"/>
        </w:rPr>
        <w:t>Türkiye`de 2015 yılı turunçgil üretimi ise 3975 milyon ton olup turunçgil türleri üretim oranı sı</w:t>
      </w:r>
      <w:r w:rsidR="002773F1">
        <w:rPr>
          <w:sz w:val="22"/>
          <w:szCs w:val="22"/>
        </w:rPr>
        <w:t>rasıyla portakal (%</w:t>
      </w:r>
      <w:proofErr w:type="gramStart"/>
      <w:r w:rsidR="002773F1">
        <w:rPr>
          <w:sz w:val="22"/>
          <w:szCs w:val="22"/>
        </w:rPr>
        <w:t>45.7</w:t>
      </w:r>
      <w:proofErr w:type="gramEnd"/>
      <w:r w:rsidR="002773F1">
        <w:rPr>
          <w:sz w:val="22"/>
          <w:szCs w:val="22"/>
        </w:rPr>
        <w:t>), mandal</w:t>
      </w:r>
      <w:r w:rsidRPr="003D59D1">
        <w:rPr>
          <w:sz w:val="22"/>
          <w:szCs w:val="22"/>
        </w:rPr>
        <w:t>in (%29.0), limon (%18.8) greyfurt (%6.3) şeklindedir (Türkiye İstatistik Kurumu, 2016).</w:t>
      </w:r>
    </w:p>
    <w:p w:rsidR="003D59D1" w:rsidRDefault="003D59D1" w:rsidP="003D59D1">
      <w:pPr>
        <w:tabs>
          <w:tab w:val="left" w:pos="851"/>
        </w:tabs>
        <w:spacing w:before="120" w:after="60"/>
        <w:jc w:val="both"/>
        <w:rPr>
          <w:sz w:val="22"/>
          <w:szCs w:val="22"/>
        </w:rPr>
      </w:pPr>
      <w:r w:rsidRPr="003D59D1">
        <w:rPr>
          <w:sz w:val="22"/>
          <w:szCs w:val="22"/>
        </w:rPr>
        <w:t>Turunçgiller iyi bir C vitamini kaynağı olmasının yanı sıra lif, potasyum, folat, kalsiyum, tiamin, niasin, B</w:t>
      </w:r>
      <w:r w:rsidRPr="003D59D1">
        <w:rPr>
          <w:sz w:val="22"/>
          <w:szCs w:val="22"/>
          <w:vertAlign w:val="subscript"/>
        </w:rPr>
        <w:t>6</w:t>
      </w:r>
      <w:r w:rsidRPr="003D59D1">
        <w:rPr>
          <w:sz w:val="22"/>
          <w:szCs w:val="22"/>
        </w:rPr>
        <w:t xml:space="preserve"> vitamini, fosfor, magnezyum, bakır, riboflavin, pantotenik asit ile karotenoidler ve flavonoidler gibi çeşitli fitokimyasalları içermekte ve bu bileşenlerin miktarları turunçgil çeşidine, olgunluğuna, saklama koşullarına, işleme yöntemlerine göre değişkenlik gösterebilmektedir. Ortalama 100 gram portakal, greyfurt, mandalina ve limon için C vitamini değerleri sırasıyla 53-88 mg, 31-61 mg, 27-72 mg, 29-61 mg arasında değişirken, A vitamini değerleri ise sırasıyla 17 µg, 58 µg, 46-144 µg, 2-22 µg şeklinde belirtilmiştir </w:t>
      </w:r>
      <w:sdt>
        <w:sdtPr>
          <w:rPr>
            <w:sz w:val="22"/>
            <w:szCs w:val="22"/>
          </w:rPr>
          <w:id w:val="-975453475"/>
          <w:citation/>
        </w:sdtPr>
        <w:sdtEndPr/>
        <w:sdtContent>
          <w:r w:rsidRPr="003D59D1">
            <w:rPr>
              <w:sz w:val="22"/>
              <w:szCs w:val="22"/>
            </w:rPr>
            <w:fldChar w:fldCharType="begin"/>
          </w:r>
          <w:r w:rsidRPr="003D59D1">
            <w:rPr>
              <w:sz w:val="22"/>
              <w:szCs w:val="22"/>
            </w:rPr>
            <w:instrText xml:space="preserve"> CITATION TTu13 \l 1055 </w:instrText>
          </w:r>
          <w:r w:rsidRPr="003D59D1">
            <w:rPr>
              <w:sz w:val="22"/>
              <w:szCs w:val="22"/>
            </w:rPr>
            <w:fldChar w:fldCharType="separate"/>
          </w:r>
          <w:r w:rsidRPr="003D59D1">
            <w:rPr>
              <w:sz w:val="22"/>
              <w:szCs w:val="22"/>
            </w:rPr>
            <w:t>(Turner &amp; Burri, 2013)</w:t>
          </w:r>
          <w:r w:rsidRPr="003D59D1">
            <w:rPr>
              <w:sz w:val="22"/>
              <w:szCs w:val="22"/>
            </w:rPr>
            <w:fldChar w:fldCharType="end"/>
          </w:r>
        </w:sdtContent>
      </w:sdt>
      <w:r w:rsidRPr="003D59D1">
        <w:rPr>
          <w:sz w:val="22"/>
          <w:szCs w:val="22"/>
        </w:rPr>
        <w:t>.</w:t>
      </w:r>
    </w:p>
    <w:p w:rsidR="003D59D1" w:rsidRPr="003D59D1" w:rsidRDefault="003D59D1" w:rsidP="003D59D1">
      <w:pPr>
        <w:spacing w:before="120" w:after="60"/>
        <w:rPr>
          <w:b/>
        </w:rPr>
      </w:pPr>
      <w:bookmarkStart w:id="1" w:name="_Toc422484076"/>
      <w:r w:rsidRPr="003D59D1">
        <w:rPr>
          <w:b/>
        </w:rPr>
        <w:t xml:space="preserve">Turunçgil </w:t>
      </w:r>
      <w:bookmarkEnd w:id="1"/>
      <w:r w:rsidRPr="003D59D1">
        <w:rPr>
          <w:b/>
        </w:rPr>
        <w:t>Flavonoidleri</w:t>
      </w:r>
    </w:p>
    <w:p w:rsidR="00A06540" w:rsidRDefault="003D59D1" w:rsidP="003D59D1">
      <w:pPr>
        <w:tabs>
          <w:tab w:val="left" w:pos="851"/>
        </w:tabs>
        <w:spacing w:before="120" w:after="60"/>
        <w:jc w:val="both"/>
        <w:rPr>
          <w:sz w:val="22"/>
          <w:szCs w:val="22"/>
        </w:rPr>
      </w:pPr>
      <w:r w:rsidRPr="003D59D1">
        <w:rPr>
          <w:sz w:val="22"/>
          <w:szCs w:val="22"/>
        </w:rPr>
        <w:t xml:space="preserve">Flavonoidler, içerdikleri karbon halkasındaki değişimlere göre flavonlar, flavanoller, flavanonlar, </w:t>
      </w:r>
      <w:r w:rsidRPr="003D59D1">
        <w:rPr>
          <w:sz w:val="22"/>
          <w:szCs w:val="22"/>
        </w:rPr>
        <w:lastRenderedPageBreak/>
        <w:t>kateşinler, antosiyanidinler ve isoflavonlar şeklinde altı gruba ayrılabilir</w:t>
      </w:r>
      <w:r w:rsidRPr="003D59D1">
        <w:rPr>
          <w:rFonts w:eastAsiaTheme="minorHAnsi"/>
          <w:sz w:val="22"/>
          <w:szCs w:val="22"/>
        </w:rPr>
        <w:t xml:space="preserve"> </w:t>
      </w:r>
      <w:sdt>
        <w:sdtPr>
          <w:rPr>
            <w:sz w:val="22"/>
            <w:szCs w:val="22"/>
          </w:rPr>
          <w:id w:val="379750415"/>
          <w:citation/>
        </w:sdtPr>
        <w:sdtEndPr/>
        <w:sdtContent>
          <w:r w:rsidRPr="003D59D1">
            <w:rPr>
              <w:sz w:val="22"/>
              <w:szCs w:val="22"/>
            </w:rPr>
            <w:fldChar w:fldCharType="begin"/>
          </w:r>
          <w:r w:rsidRPr="003D59D1">
            <w:rPr>
              <w:sz w:val="22"/>
              <w:szCs w:val="22"/>
            </w:rPr>
            <w:instrText xml:space="preserve"> CITATION TCo051 \l 1055 </w:instrText>
          </w:r>
          <w:r w:rsidRPr="003D59D1">
            <w:rPr>
              <w:sz w:val="22"/>
              <w:szCs w:val="22"/>
            </w:rPr>
            <w:fldChar w:fldCharType="separate"/>
          </w:r>
          <w:r w:rsidRPr="003D59D1">
            <w:rPr>
              <w:sz w:val="22"/>
              <w:szCs w:val="22"/>
            </w:rPr>
            <w:t>(Coşkun, 2005)</w:t>
          </w:r>
          <w:r w:rsidRPr="003D59D1">
            <w:rPr>
              <w:sz w:val="22"/>
              <w:szCs w:val="22"/>
            </w:rPr>
            <w:fldChar w:fldCharType="end"/>
          </w:r>
        </w:sdtContent>
      </w:sdt>
      <w:r w:rsidRPr="003D59D1">
        <w:rPr>
          <w:sz w:val="22"/>
          <w:szCs w:val="22"/>
        </w:rPr>
        <w:t xml:space="preserve">.  Flavonoid iskelet yapısı, iki </w:t>
      </w:r>
      <w:proofErr w:type="gramStart"/>
      <w:r w:rsidRPr="003D59D1">
        <w:rPr>
          <w:sz w:val="22"/>
          <w:szCs w:val="22"/>
        </w:rPr>
        <w:t>aromatik</w:t>
      </w:r>
      <w:proofErr w:type="gramEnd"/>
      <w:r w:rsidRPr="003D59D1">
        <w:rPr>
          <w:sz w:val="22"/>
          <w:szCs w:val="22"/>
        </w:rPr>
        <w:t xml:space="preserve"> halka ve bunlara bağlı piron veya hidroksipiron halkalarından oluşmaktadır. Piron halkasına sahip olan flavon, hidroksipiron halkasına sahip olan flavanon olarak adlandırılmaktadır. Turunçgillerde bulunan flavanon türleri, naringin, naringenin, narirutin, hesperidin, eriositrin, taksifolin, neohesperidin, neoeriositrin ve poncirindir. Naringin, narirutin ve naringin glikozidleri en fazla greyfutta bulunurken hesperidin ve hesperidin glikozidleri portakal ve mandalinada; eriositrin ve hesperidin ise limon ve misket limonda yaygındır</w:t>
      </w:r>
      <w:r w:rsidRPr="003D59D1">
        <w:rPr>
          <w:rFonts w:eastAsiaTheme="minorHAnsi"/>
          <w:sz w:val="22"/>
          <w:szCs w:val="22"/>
        </w:rPr>
        <w:t xml:space="preserve"> </w:t>
      </w:r>
      <w:r w:rsidRPr="003D59D1">
        <w:rPr>
          <w:sz w:val="22"/>
          <w:szCs w:val="22"/>
        </w:rPr>
        <w:t xml:space="preserve">(Gattuso, Barreca, Gargiulli, Leuzzi &amp; Caristi, 2007). Turunç kabuğu da hesperidin, neohesperidin, naringin ve tangeretin gibi flavonoidleri içermektedir. Bunun yanında alkoloid bileşikler sinefrin ve oktopamin, turunçta bulunan sırasıyla epinefrin ve norepinefrin yapısına benzeyen adrenerjik aktif bileşenlerdir (Peixoto ve diğerleri, 2012). </w:t>
      </w:r>
      <w:r w:rsidRPr="003D59D1">
        <w:rPr>
          <w:rFonts w:eastAsiaTheme="minorHAnsi"/>
          <w:sz w:val="22"/>
          <w:szCs w:val="22"/>
        </w:rPr>
        <w:t xml:space="preserve">Tablo 1’de turunçgillerin flavonoid içerikleri gösterilmiştir </w:t>
      </w:r>
      <w:r w:rsidRPr="003D59D1">
        <w:rPr>
          <w:sz w:val="22"/>
          <w:szCs w:val="22"/>
        </w:rPr>
        <w:t xml:space="preserve">(Gattuso, Barreca, Gargiulli, Leuzzi &amp; Caristi, 2007). Bazı turunçgillerde bir acı tat varlığı söz konusudur. Bu acı tat flavonoidler (naringin, neohesperidin) ve limonoidler (limonin, nomilin) ile ilgilidir. Naringin, acı tat veren bir flavanon glikozit olup greyfurt, pomelo ve turunçta bulunmaktadır. Meyve olgunluğunun artması ile birlikte naringin miktarında azalış olduğu bildirilmektedir (Yalım, Özdemir &amp; Ekiz, 2004). </w:t>
      </w:r>
    </w:p>
    <w:p w:rsidR="003D59D1" w:rsidRPr="003D59D1" w:rsidRDefault="003D59D1" w:rsidP="003D59D1">
      <w:pPr>
        <w:tabs>
          <w:tab w:val="left" w:pos="851"/>
        </w:tabs>
        <w:spacing w:before="120" w:after="60"/>
        <w:jc w:val="both"/>
        <w:rPr>
          <w:b/>
        </w:rPr>
      </w:pPr>
      <w:r w:rsidRPr="003D59D1">
        <w:rPr>
          <w:b/>
        </w:rPr>
        <w:t>Turunçgiller ve Metabolik Sendrom İlişkisi</w:t>
      </w:r>
    </w:p>
    <w:p w:rsidR="003D59D1" w:rsidRPr="003D59D1" w:rsidRDefault="003D59D1" w:rsidP="003D59D1">
      <w:pPr>
        <w:tabs>
          <w:tab w:val="left" w:pos="851"/>
        </w:tabs>
        <w:spacing w:before="120" w:after="60"/>
        <w:jc w:val="both"/>
        <w:rPr>
          <w:sz w:val="22"/>
          <w:szCs w:val="22"/>
        </w:rPr>
      </w:pPr>
      <w:r w:rsidRPr="003D59D1">
        <w:rPr>
          <w:sz w:val="22"/>
          <w:szCs w:val="22"/>
        </w:rPr>
        <w:t xml:space="preserve">Turunçgiller ve metabolik </w:t>
      </w:r>
      <w:proofErr w:type="gramStart"/>
      <w:r w:rsidRPr="003D59D1">
        <w:rPr>
          <w:sz w:val="22"/>
          <w:szCs w:val="22"/>
        </w:rPr>
        <w:t>sendrom</w:t>
      </w:r>
      <w:proofErr w:type="gramEnd"/>
      <w:r w:rsidRPr="003D59D1">
        <w:rPr>
          <w:sz w:val="22"/>
          <w:szCs w:val="22"/>
        </w:rPr>
        <w:t xml:space="preserve"> arasındaki ilişki obezite, dislipidemi, hipertansiyon, hiperglisemi başlıkları altında irdelenebilmektedir. Bu konudaki insan ve hayvan araştırmaları Tablo 2 ve 3’te özetlenmiştir.</w:t>
      </w:r>
    </w:p>
    <w:p w:rsidR="003D59D1" w:rsidRPr="003D59D1" w:rsidRDefault="003D59D1" w:rsidP="003D59D1">
      <w:pPr>
        <w:spacing w:before="120" w:after="60"/>
        <w:rPr>
          <w:b/>
          <w:sz w:val="22"/>
          <w:szCs w:val="22"/>
        </w:rPr>
      </w:pPr>
      <w:bookmarkStart w:id="2" w:name="_Toc422484077"/>
      <w:r w:rsidRPr="003D59D1">
        <w:rPr>
          <w:b/>
          <w:sz w:val="22"/>
          <w:szCs w:val="22"/>
        </w:rPr>
        <w:t>Obezite üzerine etkile</w:t>
      </w:r>
      <w:bookmarkEnd w:id="2"/>
      <w:r w:rsidRPr="003D59D1">
        <w:rPr>
          <w:b/>
          <w:sz w:val="22"/>
          <w:szCs w:val="22"/>
        </w:rPr>
        <w:t>ri</w:t>
      </w:r>
    </w:p>
    <w:p w:rsidR="003D59D1" w:rsidRDefault="003D59D1" w:rsidP="003D59D1">
      <w:pPr>
        <w:tabs>
          <w:tab w:val="left" w:pos="851"/>
        </w:tabs>
        <w:spacing w:before="120" w:after="60"/>
        <w:jc w:val="both"/>
        <w:rPr>
          <w:sz w:val="22"/>
          <w:szCs w:val="22"/>
        </w:rPr>
      </w:pPr>
      <w:r w:rsidRPr="003D59D1">
        <w:rPr>
          <w:sz w:val="22"/>
          <w:szCs w:val="22"/>
        </w:rPr>
        <w:t>Obezite, alınan enerjinin harcanan enerjiden fazla olması durumunda vücut yağ kütlesinin, yağsız vücut kütlesine oranının artması ile karakterizedir. Obezitenin önlenmesi ve tedavisinde fonksiyonel besinler ve bileşenler arasındaki ilişkiyle ilgili çalışmalar yapılmaktadır</w:t>
      </w:r>
      <w:r w:rsidRPr="003D59D1">
        <w:rPr>
          <w:rFonts w:eastAsiaTheme="minorHAnsi"/>
          <w:sz w:val="22"/>
          <w:szCs w:val="22"/>
        </w:rPr>
        <w:t xml:space="preserve"> </w:t>
      </w:r>
      <w:sdt>
        <w:sdtPr>
          <w:rPr>
            <w:sz w:val="22"/>
            <w:szCs w:val="22"/>
          </w:rPr>
          <w:id w:val="-192076436"/>
          <w:citation/>
        </w:sdtPr>
        <w:sdtEndPr/>
        <w:sdtContent>
          <w:r w:rsidRPr="003D59D1">
            <w:rPr>
              <w:sz w:val="22"/>
              <w:szCs w:val="22"/>
            </w:rPr>
            <w:fldChar w:fldCharType="begin"/>
          </w:r>
          <w:r w:rsidRPr="003D59D1">
            <w:rPr>
              <w:sz w:val="22"/>
              <w:szCs w:val="22"/>
            </w:rPr>
            <w:instrText xml:space="preserve"> CITATION MCh12 \l 1055 </w:instrText>
          </w:r>
          <w:r w:rsidRPr="003D59D1">
            <w:rPr>
              <w:sz w:val="22"/>
              <w:szCs w:val="22"/>
            </w:rPr>
            <w:fldChar w:fldCharType="separate"/>
          </w:r>
          <w:r w:rsidRPr="003D59D1">
            <w:rPr>
              <w:sz w:val="22"/>
              <w:szCs w:val="22"/>
            </w:rPr>
            <w:t>(Choudhary &amp; Grover, 2012)</w:t>
          </w:r>
          <w:r w:rsidRPr="003D59D1">
            <w:rPr>
              <w:sz w:val="22"/>
              <w:szCs w:val="22"/>
            </w:rPr>
            <w:fldChar w:fldCharType="end"/>
          </w:r>
        </w:sdtContent>
      </w:sdt>
      <w:r w:rsidRPr="003D59D1">
        <w:rPr>
          <w:sz w:val="22"/>
          <w:szCs w:val="22"/>
        </w:rPr>
        <w:t xml:space="preserve">. Fonksiyonel bir besin olarak turunçgillerden limon polifenollerinin beyaz adipoz doku ve lipit metabolizmasına olan etkisinin araştırıldığı bir çalışmada erkek fareler düşük yağlı beslenen, yüksek yağlı beslenen ve diyetlerine limon polifenollerinin eklendiği yüksek yağlı beslenen olmak üzere üç gruba ayrılarak 12 hafta izlenmiştir. Buna </w:t>
      </w:r>
      <w:r w:rsidRPr="003D59D1">
        <w:rPr>
          <w:sz w:val="22"/>
          <w:szCs w:val="22"/>
        </w:rPr>
        <w:t>göre, limon polifenollerinin farelerdeki ağırlık kazanımını, yağ depolanma yeteneğini, hiperlipidemiyi, hiperglisemiyi ve insülin direncini baskıladığı görülmüştür. Limon po</w:t>
      </w:r>
      <w:bookmarkStart w:id="3" w:name="_GoBack"/>
      <w:bookmarkEnd w:id="3"/>
      <w:r w:rsidRPr="003D59D1">
        <w:rPr>
          <w:sz w:val="22"/>
          <w:szCs w:val="22"/>
        </w:rPr>
        <w:t xml:space="preserve">lifenolü verilen grupta peroksizom proliferatör ile aktive olan reseptör (PPAR) - α seviyeleri ve karaciğer ile beyaz adipoz dokuda asil CoA oksidaz seviyelerinde artış ile yağ oksidasyonu üzerine etkili olduğu belirlenmiştir   (Fukuchi ve diğerleri, 2008). Sıçanlarda yapılan altı haftalık bir çalışmada ise ek naringenin verilmesi adipoz dokudaki adiposit ve trigliserit içeriğini düşürürken karaciğerde PPAR-α, karnitin palmitoil transferaz (CPT) - 1 ve mitokondriyal katlanmamış protein (UCP) - 2 proteinin gen ekspresyonunu önemli derecede yükseltmiştir (Alam ve diğerleri, 2014). Naringeninin, glikoz ve lipit metabolizmasındaki rolünü incelemek için 19 dişi fare ile yapılan 11 haftalık bir araştırmada bir gruba normal diyet verilirken diğer gruba %3 oranında naringenin içeren diyet verilmiştir. Naringenin verilen grupta kontrol grubuna göre postprandiyal glikoz seviyesi ile insulin seviyesinin daha düşük olduğu belirlenmiştir. Aynı zamanda intra-abdominal ve subkutan yağlanma ile monosit kemotaktik protein (MCP) - 1 ve IL-6 düzeylerinde azalış, hepatik steatozda iyileşme olduğu belirlenmiştir (Ke ve diğerleri, 2015). Naringeninin, 3T3-L1 yağ hücrelerinden adiponektin salınımını destekleyici MCP-1 ile yağ dokudaki artışla ilişkili inflamatuvar değişikleri iyileştirebileceği bildirilmektedir (Alam ve diğerleri, 2014). Diğer taraftan stearoil-koenzim A desaturaz (SCD) - 1, insanlarda tekli doymamış yağ asidi sentezini sınırlayıcı basamağını katalizlemesi ve trigliserid üretiminde rol alması sebebiyle metabolik ve inflamatuar hastalıkların patogeneziyle ilişkilendirilmektedir (Peter ve diğerleri, 2009). Erkek rat karaciğer (HepG2) hücrelerinde dört hafta süren bir çalışmada, hesperidin ve nobiletinin SCD-1 seviyesindeki azalışla ilintili olarak plazma lipid seviyelerini düşürdüğü, glikoz toleransını iyileştirdiği ve obezite derecesini azalttığı gösterilmiştir (Nichols, Jackson, Manthey, Shukla &amp; Holland, 2011). Bunun yanında 50 yetişkin birey ile on iki hafta yapılan çift kör bir çalışmada turunçta bulunan p-sinefrinin (50 mg/gün), naringin (600 mg/gün) ve hesperidin (100 mg/gün) ile birlikte dinlenme metabolik hızını artırdığı belirtilmiştir (Stohs ve diğerleri, 2011). Turunç ve p-sinefrin ile ilgili derleme bir çalışmada ise on iki hafta turunç ekstratı ve/veya p-sinefrin alımının metabolik hızı artırdığı ancak güvenli tüketim miktarlarının belirlenebilmesi için daha fazla çalışmaya ihtiyaç olduğu bildirilmiştir (Stohs, Preuss &amp; Shara, 2012). </w:t>
      </w:r>
      <w:r w:rsidRPr="003D59D1">
        <w:rPr>
          <w:sz w:val="22"/>
          <w:szCs w:val="22"/>
        </w:rPr>
        <w:lastRenderedPageBreak/>
        <w:t xml:space="preserve">Greyfurt tüketiminin obezite ve metabolik </w:t>
      </w:r>
      <w:proofErr w:type="gramStart"/>
      <w:r w:rsidRPr="003D59D1">
        <w:rPr>
          <w:sz w:val="22"/>
          <w:szCs w:val="22"/>
        </w:rPr>
        <w:t>sendrom</w:t>
      </w:r>
      <w:proofErr w:type="gramEnd"/>
      <w:r w:rsidRPr="003D59D1">
        <w:rPr>
          <w:sz w:val="22"/>
          <w:szCs w:val="22"/>
        </w:rPr>
        <w:t xml:space="preserve"> ile olan ilişkisinin araştırıldığı bir çalışmada ise 91 obez birey rastgele gruplandırılarak plasebo kapsül ve 207 ml elma suyu, greyfurt kapsülü ve 207 ml elma suyu, plasebo kapsül ve 237 ml greyfurt suyu, günde 3 kez her öğünden önce yarım greyfurt tüketmesi sağlanmıştır. Buna göre, greyfurt tüketenlerde en fazla olmakla birlikte, greyfurt kapsülü ve greyfurt suyu tüketenlerde vücut ağırlığı kaybının plaseboya göre daha fazla olduğu saptanmıştır (Fujioka, Greenway, Sheard &amp; Ying, 2006). </w:t>
      </w:r>
      <w:proofErr w:type="gramStart"/>
      <w:r w:rsidRPr="003D59D1">
        <w:rPr>
          <w:sz w:val="22"/>
          <w:szCs w:val="22"/>
        </w:rPr>
        <w:t>ABD Ulusal Sağlık ve Beslenme Araştırması 2003-2006 yılı sonuçlarına göre %100 portakal suyu tüketen &gt;19 yaş yetişkin bireylerin tüketim ortalamasının 210 ml/gün olduğu ve %100 portakal suyu tüketenlerin tüketmeyenlere göre daha düşük beden kütle indeksi (BKİ), total kolesterol, düşük dansiteli lipoprotein (LDL) değerleri ile %21 daha az obezite riskinin olduğu belirlenmiştir (O’Neil, Nicklas, Rampersaud &amp; Fulgoni, 2012).</w:t>
      </w:r>
      <w:proofErr w:type="gramEnd"/>
    </w:p>
    <w:p w:rsidR="001F6316" w:rsidRPr="003D59D1" w:rsidRDefault="001F6316" w:rsidP="001F6316">
      <w:pPr>
        <w:spacing w:before="120" w:after="60"/>
        <w:rPr>
          <w:b/>
          <w:sz w:val="22"/>
          <w:szCs w:val="22"/>
        </w:rPr>
      </w:pPr>
      <w:bookmarkStart w:id="4" w:name="_Toc422484078"/>
      <w:r w:rsidRPr="003D59D1">
        <w:rPr>
          <w:b/>
          <w:sz w:val="22"/>
          <w:szCs w:val="22"/>
        </w:rPr>
        <w:t>Dislipidemi üzerine etkileri</w:t>
      </w:r>
      <w:bookmarkEnd w:id="4"/>
    </w:p>
    <w:p w:rsidR="001F6316" w:rsidRPr="003D59D1" w:rsidRDefault="001F6316" w:rsidP="001F6316">
      <w:pPr>
        <w:tabs>
          <w:tab w:val="left" w:pos="851"/>
        </w:tabs>
        <w:spacing w:before="120" w:after="60"/>
        <w:jc w:val="both"/>
        <w:rPr>
          <w:sz w:val="22"/>
          <w:szCs w:val="22"/>
        </w:rPr>
      </w:pPr>
      <w:r w:rsidRPr="003D59D1">
        <w:rPr>
          <w:sz w:val="22"/>
          <w:szCs w:val="22"/>
        </w:rPr>
        <w:t xml:space="preserve">Dislipidemi, obezitenin önemli komorbiditelerinden biri olup aterosklerotik hastalıkların da majör risk faktörlerindendir. MeS patofizyolojisinde dislipidemi merkezi bir role sahiptir. Dislipidemi durumunda serbest yağ asidi salınımındaki artış ve çok düşük dansiteli lipoprotein (VLDL) üretimi ile yüksek dansiteli lipoprotein (HDL) katabolizmasındaki artış, insülin direnci oluşumunu etkilemektedir  (Kolovou, Anagnostopoulou &amp; Cokkinos, 2005). Ayrıca dislipidemi ile birlikte serbest radikallerin üretimi artmakta ve antioksidan enzimlerin aktiviteleri de azalmaktadır. </w:t>
      </w:r>
      <w:proofErr w:type="gramStart"/>
      <w:r w:rsidRPr="003D59D1">
        <w:rPr>
          <w:sz w:val="22"/>
          <w:szCs w:val="22"/>
        </w:rPr>
        <w:t>Normal diyet, yüksek kolesterollü diyet ve %0.08 hesperidin ilaveli yüksek kolesterollü diyet olmak üzere üç gruba ayrılan 30 ratın yirmi sekiz gün izlendiği bir çalışmada, hesperidin ilaveli grupta, kolesterol (%34) ve LDL’de (%52) düşüş, HDL (%22), antioksidan enzimler olan süperoksit dismutaz (SOD), katalaz (CAT), glutatyon peroksidaz (GSH-P</w:t>
      </w:r>
      <w:r w:rsidRPr="003D59D1">
        <w:rPr>
          <w:sz w:val="22"/>
          <w:szCs w:val="22"/>
          <w:vertAlign w:val="subscript"/>
        </w:rPr>
        <w:t>x</w:t>
      </w:r>
      <w:r w:rsidRPr="003D59D1">
        <w:rPr>
          <w:sz w:val="22"/>
          <w:szCs w:val="22"/>
        </w:rPr>
        <w:t xml:space="preserve">) ve glutatyon s-transferaz (GST) seviyelerinde artış olduğu belirlenmiştir </w:t>
      </w:r>
      <w:sdt>
        <w:sdtPr>
          <w:rPr>
            <w:sz w:val="22"/>
            <w:szCs w:val="22"/>
          </w:rPr>
          <w:id w:val="46890765"/>
          <w:citation/>
        </w:sdtPr>
        <w:sdtEndPr/>
        <w:sdtContent>
          <w:r w:rsidRPr="003D59D1">
            <w:rPr>
              <w:sz w:val="22"/>
              <w:szCs w:val="22"/>
            </w:rPr>
            <w:fldChar w:fldCharType="begin"/>
          </w:r>
          <w:r w:rsidRPr="003D59D1">
            <w:rPr>
              <w:sz w:val="22"/>
              <w:szCs w:val="22"/>
            </w:rPr>
            <w:instrText xml:space="preserve"> CITATION Mos14 \l 1055 </w:instrText>
          </w:r>
          <w:r w:rsidRPr="003D59D1">
            <w:rPr>
              <w:sz w:val="22"/>
              <w:szCs w:val="22"/>
            </w:rPr>
            <w:fldChar w:fldCharType="separate"/>
          </w:r>
          <w:r w:rsidRPr="003D59D1">
            <w:rPr>
              <w:sz w:val="22"/>
              <w:szCs w:val="22"/>
            </w:rPr>
            <w:t>(El-Shafey &amp; Abd-Ellah, 2014)</w:t>
          </w:r>
          <w:r w:rsidRPr="003D59D1">
            <w:rPr>
              <w:sz w:val="22"/>
              <w:szCs w:val="22"/>
            </w:rPr>
            <w:fldChar w:fldCharType="end"/>
          </w:r>
        </w:sdtContent>
      </w:sdt>
      <w:r w:rsidRPr="003D59D1">
        <w:rPr>
          <w:sz w:val="22"/>
          <w:szCs w:val="22"/>
        </w:rPr>
        <w:t>. Naringeninin metabolik etkileri ve ateroskleroza etkisini inceleyen 12 haftalık bir çalışmada ise yüksek yağlı-yüksek kolesterollü ve düşük yağlı-yüksek kolesterollü beslenen 8-12 haftalık hiperkolesterolemik erkek farelerin diyetlerine eklenen %3 naringeninin hepatik lipogenezisi azaltıp yağ asidi oksidasyonunu artırarak hepatik steatozda ve aşırı hepatik VLDL salgılanmasını azaltarak dislipidemide iyileşme sağladığı belirtilmiş</w:t>
      </w:r>
      <w:r w:rsidRPr="003D59D1">
        <w:rPr>
          <w:sz w:val="22"/>
          <w:szCs w:val="22"/>
        </w:rPr>
        <w:t xml:space="preserve">tir (Assini ve diğerleri, 2013). </w:t>
      </w:r>
      <w:proofErr w:type="gramEnd"/>
      <w:r w:rsidRPr="003D59D1">
        <w:rPr>
          <w:sz w:val="22"/>
          <w:szCs w:val="22"/>
        </w:rPr>
        <w:t>Portakal suyu tüketimi ile ilgili bir çalışmada, normal trigliserit, yüksek total kolesterol ve LDL kolesterol, düzeylerine sahip 25 bireye dört hafta boyunca üç öğüne bölünmüş olarak toplam 750 ml portakal suyu verilmiştir. Çalışma sonucuna göre, HDL, trigliserit ve folat seviyelerinde sırasıyla %21, %30 ve %18 oranında artış, LDL/HDL oranında %16 oranında düşüş belirlenmiştir (Kurowska ve diğerleri, 2000). Uzun süre (&gt;12 ay) portakal suyu tüketiminin etkilerini inceleyen bir araştırmada ise hiperkolesterolemisi olup portakal suyu tüketenlerin ortalama 480 ml/gün (</w:t>
      </w:r>
      <w:proofErr w:type="gramStart"/>
      <w:r w:rsidRPr="003D59D1">
        <w:rPr>
          <w:sz w:val="22"/>
          <w:szCs w:val="22"/>
        </w:rPr>
        <w:t>26.4</w:t>
      </w:r>
      <w:proofErr w:type="gramEnd"/>
      <w:r w:rsidRPr="003D59D1">
        <w:rPr>
          <w:sz w:val="22"/>
          <w:szCs w:val="22"/>
        </w:rPr>
        <w:t xml:space="preserve"> mg hesperidin ve 7.4 mg naringenin) portakal suyu tükettiği ve bu bireylerde tüketmeyenlere göre serum total kolesterolde %5, LDL’de %12 ve ApoB’de %12 düşüş olduğu belirlenmiştir </w:t>
      </w:r>
      <w:sdt>
        <w:sdtPr>
          <w:rPr>
            <w:sz w:val="22"/>
            <w:szCs w:val="22"/>
          </w:rPr>
          <w:id w:val="-1722734363"/>
          <w:citation/>
        </w:sdtPr>
        <w:sdtEndPr/>
        <w:sdtContent>
          <w:r w:rsidRPr="003D59D1">
            <w:rPr>
              <w:sz w:val="22"/>
              <w:szCs w:val="22"/>
            </w:rPr>
            <w:fldChar w:fldCharType="begin"/>
          </w:r>
          <w:r w:rsidRPr="003D59D1">
            <w:rPr>
              <w:sz w:val="22"/>
              <w:szCs w:val="22"/>
            </w:rPr>
            <w:instrText xml:space="preserve"> CITATION Nan13 \l 1055 </w:instrText>
          </w:r>
          <w:r w:rsidRPr="003D59D1">
            <w:rPr>
              <w:sz w:val="22"/>
              <w:szCs w:val="22"/>
            </w:rPr>
            <w:fldChar w:fldCharType="separate"/>
          </w:r>
          <w:r w:rsidRPr="003D59D1">
            <w:rPr>
              <w:sz w:val="22"/>
              <w:szCs w:val="22"/>
            </w:rPr>
            <w:t>(Aptekmann &amp; Cesar, 2013)</w:t>
          </w:r>
          <w:r w:rsidRPr="003D59D1">
            <w:rPr>
              <w:sz w:val="22"/>
              <w:szCs w:val="22"/>
            </w:rPr>
            <w:fldChar w:fldCharType="end"/>
          </w:r>
        </w:sdtContent>
      </w:sdt>
      <w:r w:rsidRPr="003D59D1">
        <w:rPr>
          <w:sz w:val="22"/>
          <w:szCs w:val="22"/>
        </w:rPr>
        <w:t xml:space="preserve">. </w:t>
      </w:r>
      <w:proofErr w:type="gramStart"/>
      <w:r w:rsidRPr="003D59D1">
        <w:rPr>
          <w:sz w:val="22"/>
          <w:szCs w:val="22"/>
        </w:rPr>
        <w:t xml:space="preserve">Randomize kontrollü çapraz bir çalışmada ise 50-65 yaşlarında 24 erkek bireye dört hafta, 500 ml/gün portakal suyu, 500 ml/gün hesperidin eklenmiş (292 mg) kontrol içeceği ile 500 ml/gün plasebo içecek verilerek portakal suyu ve hesperidin eklenmiş kontrol içeceğinin anti-inflamatuvar ve anti-aterojenik etkiler gösterdiği belirlenmiştir (Milenkovic, Deval, Dubray, Mazur &amp; Morand, 2011). </w:t>
      </w:r>
      <w:proofErr w:type="gramEnd"/>
      <w:r w:rsidRPr="003D59D1">
        <w:rPr>
          <w:sz w:val="22"/>
          <w:szCs w:val="22"/>
        </w:rPr>
        <w:t xml:space="preserve">Dört hafta boyunca plasebo, naringin (500 mg/gün) ve hesperidin (800 mg/gün) verilen hiperkolesterolemik 194 birey ile yapılan bir çalışmada ise total kolesterol, HDL, LDL ve trigliserit değerlerinde bir farklılık belirlenmemiştir (Demonty ve diğerleri, 2010). Hiperkolesterolemik ve sağlıklı 26 birey ile altı ay yürütülen çift kör plasebo kontrollü bir çalışmada ise turunçgil ekstraktı (TE) ve C vitamini ile trigliserit düzeylerinde azalış ve lipoprotein oksidasyonunu gecikme sağlamıştır </w:t>
      </w:r>
      <w:sdt>
        <w:sdtPr>
          <w:rPr>
            <w:sz w:val="22"/>
            <w:szCs w:val="22"/>
          </w:rPr>
          <w:id w:val="411596264"/>
          <w:citation/>
        </w:sdtPr>
        <w:sdtEndPr/>
        <w:sdtContent>
          <w:r w:rsidRPr="003D59D1">
            <w:rPr>
              <w:sz w:val="22"/>
              <w:szCs w:val="22"/>
            </w:rPr>
            <w:fldChar w:fldCharType="begin"/>
          </w:r>
          <w:r w:rsidRPr="003D59D1">
            <w:rPr>
              <w:sz w:val="22"/>
              <w:szCs w:val="22"/>
            </w:rPr>
            <w:instrText xml:space="preserve"> CITATION Joe01 \l 1055 </w:instrText>
          </w:r>
          <w:r w:rsidRPr="003D59D1">
            <w:rPr>
              <w:sz w:val="22"/>
              <w:szCs w:val="22"/>
            </w:rPr>
            <w:fldChar w:fldCharType="separate"/>
          </w:r>
          <w:r w:rsidRPr="003D59D1">
            <w:rPr>
              <w:sz w:val="22"/>
              <w:szCs w:val="22"/>
            </w:rPr>
            <w:t>(Vinson &amp; Jang, 2001)</w:t>
          </w:r>
          <w:r w:rsidRPr="003D59D1">
            <w:rPr>
              <w:sz w:val="22"/>
              <w:szCs w:val="22"/>
            </w:rPr>
            <w:fldChar w:fldCharType="end"/>
          </w:r>
        </w:sdtContent>
      </w:sdt>
      <w:r w:rsidRPr="003D59D1">
        <w:rPr>
          <w:sz w:val="22"/>
          <w:szCs w:val="22"/>
        </w:rPr>
        <w:t>.</w:t>
      </w:r>
      <w:bookmarkStart w:id="5" w:name="_Toc422484079"/>
    </w:p>
    <w:p w:rsidR="001F6316" w:rsidRPr="003D59D1" w:rsidRDefault="001F6316" w:rsidP="001F6316">
      <w:pPr>
        <w:tabs>
          <w:tab w:val="left" w:pos="851"/>
        </w:tabs>
        <w:spacing w:before="120" w:after="60"/>
        <w:jc w:val="both"/>
        <w:rPr>
          <w:sz w:val="22"/>
          <w:szCs w:val="22"/>
        </w:rPr>
      </w:pPr>
      <w:r w:rsidRPr="003D59D1">
        <w:rPr>
          <w:b/>
          <w:sz w:val="22"/>
          <w:szCs w:val="22"/>
        </w:rPr>
        <w:t>Hipertansiyon üzerine etkileri</w:t>
      </w:r>
      <w:bookmarkEnd w:id="5"/>
    </w:p>
    <w:p w:rsidR="00A06540" w:rsidRDefault="001F6316" w:rsidP="00A06540">
      <w:pPr>
        <w:tabs>
          <w:tab w:val="left" w:pos="851"/>
        </w:tabs>
        <w:spacing w:before="120" w:after="60"/>
        <w:jc w:val="both"/>
        <w:rPr>
          <w:sz w:val="22"/>
          <w:szCs w:val="22"/>
        </w:rPr>
      </w:pPr>
      <w:proofErr w:type="gramStart"/>
      <w:r w:rsidRPr="003D59D1">
        <w:rPr>
          <w:sz w:val="22"/>
          <w:szCs w:val="22"/>
        </w:rPr>
        <w:t xml:space="preserve">Portakal suyu ve önemli flavonoidlerinden olan hesperidinin kan basıncı üzerine olan etkisinin araştırıldığı 50-65 yaş grubu kilolu 24 erkek bireye dört hafta 500 ml/gün portakal suyu, 500 ml/gün hesperidin eklenmiş (292 mg) kontrol içeceği ile 500 ml/gün plasebo içecek verilen randomize kontrollü çapraz çalışmada, portakal suyunun diastolik kan basıncını düşürdüğü ve postprandiyal mikrovasküler endotel reaktiviteyi arttırdığı belirlenmiştir (Morand ve diğerleri, 2011). </w:t>
      </w:r>
      <w:proofErr w:type="gramEnd"/>
      <w:r w:rsidRPr="003D59D1">
        <w:rPr>
          <w:sz w:val="22"/>
          <w:szCs w:val="22"/>
        </w:rPr>
        <w:t xml:space="preserve">Taze portakal suyunun 22 sağlıklı birey üzerinde kan basıncına olan etkisinin araştırıldığı bir diğer çalışmada ise dört hafta bireylere günde iki kez 500 ml portakal suyu verilerek kan basıncında ortalama 3-4 mmHg azalış olduğu belirlenmiştir </w:t>
      </w:r>
      <w:sdt>
        <w:sdtPr>
          <w:rPr>
            <w:sz w:val="22"/>
            <w:szCs w:val="22"/>
          </w:rPr>
          <w:id w:val="197972364"/>
          <w:citation/>
        </w:sdtPr>
        <w:sdtEndPr/>
        <w:sdtContent>
          <w:r w:rsidRPr="003D59D1">
            <w:rPr>
              <w:sz w:val="22"/>
              <w:szCs w:val="22"/>
            </w:rPr>
            <w:fldChar w:fldCharType="begin"/>
          </w:r>
          <w:r w:rsidRPr="003D59D1">
            <w:rPr>
              <w:sz w:val="22"/>
              <w:szCs w:val="22"/>
            </w:rPr>
            <w:instrText xml:space="preserve"> CITATION Sed13 \l 1055 </w:instrText>
          </w:r>
          <w:r w:rsidRPr="003D59D1">
            <w:rPr>
              <w:sz w:val="22"/>
              <w:szCs w:val="22"/>
            </w:rPr>
            <w:fldChar w:fldCharType="separate"/>
          </w:r>
          <w:r w:rsidRPr="003D59D1">
            <w:rPr>
              <w:sz w:val="22"/>
              <w:szCs w:val="22"/>
            </w:rPr>
            <w:t>(Asgary &amp; Keshvari, 2013)</w:t>
          </w:r>
          <w:r w:rsidRPr="003D59D1">
            <w:rPr>
              <w:sz w:val="22"/>
              <w:szCs w:val="22"/>
            </w:rPr>
            <w:fldChar w:fldCharType="end"/>
          </w:r>
        </w:sdtContent>
      </w:sdt>
      <w:r w:rsidRPr="003D59D1">
        <w:rPr>
          <w:sz w:val="22"/>
          <w:szCs w:val="22"/>
        </w:rPr>
        <w:t>. Proliferasyon ve migrasyonu düzenleyen vasküler düz kas hücreleri (VSMCs), ateroskleroz ve hipertansiyonun patogenezinde oldukça öneme sahiptir. Naringenin, TNF-α ile uyarılan VSMCs proliferasyonu ile migrasyonunu inhibe ettiği ve TNF-α’nın uyardığı artmış reaktif oksijen türlerini bloke ettiği bildirilmektedir (Alam ve diğerleri, 2014).</w:t>
      </w:r>
      <w:bookmarkStart w:id="6" w:name="_Toc422484080"/>
    </w:p>
    <w:p w:rsidR="001F6316" w:rsidRPr="00A06540" w:rsidRDefault="001F6316" w:rsidP="00A06540">
      <w:pPr>
        <w:tabs>
          <w:tab w:val="left" w:pos="851"/>
        </w:tabs>
        <w:spacing w:before="120" w:after="60"/>
        <w:jc w:val="both"/>
        <w:rPr>
          <w:sz w:val="22"/>
          <w:szCs w:val="22"/>
        </w:rPr>
      </w:pPr>
      <w:r w:rsidRPr="003D59D1">
        <w:rPr>
          <w:b/>
          <w:sz w:val="22"/>
          <w:szCs w:val="22"/>
        </w:rPr>
        <w:t>Hiperglisemi üzerine etkileri</w:t>
      </w:r>
      <w:bookmarkEnd w:id="6"/>
    </w:p>
    <w:p w:rsidR="001F6316" w:rsidRDefault="001F6316" w:rsidP="003D59D1">
      <w:pPr>
        <w:tabs>
          <w:tab w:val="left" w:pos="851"/>
        </w:tabs>
        <w:spacing w:before="120" w:after="60"/>
        <w:jc w:val="both"/>
        <w:rPr>
          <w:sz w:val="22"/>
          <w:szCs w:val="22"/>
        </w:rPr>
      </w:pPr>
      <w:r w:rsidRPr="003D59D1">
        <w:rPr>
          <w:sz w:val="22"/>
          <w:szCs w:val="22"/>
        </w:rPr>
        <w:t xml:space="preserve">Hiperglisemi ve insülin direnci, MeS fizyopatolojisinde oldukça önemli bir role sahiptir. Beş haftalık 30 adet tip 2 diyabetik erkek fare ile yapılan bir araştırmada bir gruba normal diyet, bir gruba </w:t>
      </w:r>
      <w:proofErr w:type="gramStart"/>
      <w:r w:rsidRPr="003D59D1">
        <w:rPr>
          <w:sz w:val="22"/>
          <w:szCs w:val="22"/>
        </w:rPr>
        <w:t>0.2</w:t>
      </w:r>
      <w:proofErr w:type="gramEnd"/>
      <w:r w:rsidRPr="003D59D1">
        <w:rPr>
          <w:sz w:val="22"/>
          <w:szCs w:val="22"/>
        </w:rPr>
        <w:t xml:space="preserve"> g/kg hesperidin ve bir gruba 0.2 g/kg naringin eklenen diyet verilmiştir. Beş haftanın sonunda naringin ve hesperidin eklenen gruplarda</w:t>
      </w:r>
      <w:r w:rsidR="002773F1">
        <w:rPr>
          <w:sz w:val="22"/>
          <w:szCs w:val="22"/>
        </w:rPr>
        <w:t xml:space="preserve"> kontrol grubuna göre plazma gli</w:t>
      </w:r>
      <w:r w:rsidRPr="003D59D1">
        <w:rPr>
          <w:sz w:val="22"/>
          <w:szCs w:val="22"/>
        </w:rPr>
        <w:t xml:space="preserve">koz, serbest yağ asidi, trigliserit, total kolesterol, hepatik trigliserit ve kolesterolde azalış belirlenirken fekal trigliserit ve kolesterolde artış belirlenmiştir. </w:t>
      </w:r>
      <w:proofErr w:type="gramStart"/>
      <w:r w:rsidRPr="003D59D1">
        <w:rPr>
          <w:sz w:val="22"/>
          <w:szCs w:val="22"/>
        </w:rPr>
        <w:t xml:space="preserve">Bu flavonoidlerin, hepatik glukokinaz aktivitesi ve hekzokinaz </w:t>
      </w:r>
      <w:r w:rsidRPr="003D59D1">
        <w:rPr>
          <w:sz w:val="22"/>
          <w:szCs w:val="22"/>
        </w:rPr>
        <w:t>aktivitesinin artışında, hepatik-3-hidroksi-metil CoA (HMG-CoA) redüktaz ve asil CoA kolesteril asil tran</w:t>
      </w:r>
      <w:r w:rsidR="002773F1">
        <w:rPr>
          <w:sz w:val="22"/>
          <w:szCs w:val="22"/>
        </w:rPr>
        <w:t>sferaz (ACAT) aktivitesi ile gli</w:t>
      </w:r>
      <w:r w:rsidRPr="003D59D1">
        <w:rPr>
          <w:sz w:val="22"/>
          <w:szCs w:val="22"/>
        </w:rPr>
        <w:t xml:space="preserve">koz-6-fosfataz, fruktoz-1,6-bifosfataz ve glikojen fosforilazın azalışında etkili olduğu aynı zamanda adipoz dokuda GLUT-4 ekspresyonunu artırdığı saptanmıştır  (Jung, Lee, Park, Kang &amp; Choi, 2006). </w:t>
      </w:r>
      <w:proofErr w:type="gramEnd"/>
      <w:r w:rsidRPr="003D59D1">
        <w:rPr>
          <w:sz w:val="22"/>
          <w:szCs w:val="22"/>
        </w:rPr>
        <w:t>Naringenin ve hesperidinin antidiyabetik etkisi, adipoz dokuda PPAR-γ ekspresyonu ve adiponektin seviyelerindeki artışla da ilişkilendirilmektedir. Erkek ratlarla yapılan bir çalışmada, ilk olarak iki hafta süresince bir gruba normal diyet verilirken bir gruba yağlı diyet/streptotozin verilerek tip 2 diyabet gelişimi indüklenmiştir. Daha sonra dört hafta süresince diyabetik ratlardan bir gruba diyabetik diyet, bir gruba 50 mg/kg hesperidin eklenmiş diyabetik diyet, bir gruba da 50 mg/kg narigenin eklenmiş diyabetik diyet verilmiştir. Çalışma sonucunda hesperidin ve naringenin eklenmiş gruplarda HbA1c düzeylerinde artış plazma insülin düzeylerinde ise azalış saptanmıştır (Mahmoud, Ahmed</w:t>
      </w:r>
      <w:r>
        <w:rPr>
          <w:sz w:val="22"/>
          <w:szCs w:val="22"/>
        </w:rPr>
        <w:t>, Abdel-Moneim &amp; Ashour, 2013).</w:t>
      </w:r>
    </w:p>
    <w:p w:rsidR="00A06540" w:rsidRDefault="00A06540" w:rsidP="00A06540">
      <w:pPr>
        <w:spacing w:before="120" w:after="60"/>
        <w:rPr>
          <w:b/>
          <w:sz w:val="22"/>
          <w:szCs w:val="22"/>
        </w:rPr>
        <w:sectPr w:rsidR="00A06540" w:rsidSect="00A8159C">
          <w:footerReference w:type="default" r:id="rId15"/>
          <w:type w:val="continuous"/>
          <w:pgSz w:w="11906" w:h="16838" w:code="9"/>
          <w:pgMar w:top="1418" w:right="1418" w:bottom="1418" w:left="1418" w:header="709" w:footer="709" w:gutter="0"/>
          <w:cols w:num="2" w:space="284"/>
          <w:docGrid w:linePitch="360"/>
        </w:sectPr>
      </w:pPr>
    </w:p>
    <w:p w:rsidR="00A06540" w:rsidRDefault="00A06540" w:rsidP="00A06540">
      <w:pPr>
        <w:spacing w:before="120" w:after="60"/>
        <w:rPr>
          <w:b/>
          <w:sz w:val="22"/>
          <w:szCs w:val="22"/>
        </w:rPr>
      </w:pPr>
    </w:p>
    <w:p w:rsidR="00A06540" w:rsidRPr="00A37C23" w:rsidRDefault="00A06540" w:rsidP="00A06540">
      <w:pPr>
        <w:spacing w:before="120" w:after="60"/>
        <w:rPr>
          <w:sz w:val="22"/>
          <w:szCs w:val="22"/>
        </w:rPr>
      </w:pPr>
      <w:r w:rsidRPr="00A06540">
        <w:rPr>
          <w:b/>
          <w:sz w:val="22"/>
          <w:szCs w:val="22"/>
        </w:rPr>
        <w:t>Tablo 1.</w:t>
      </w:r>
      <w:r w:rsidRPr="00A37C23">
        <w:rPr>
          <w:sz w:val="22"/>
          <w:szCs w:val="22"/>
        </w:rPr>
        <w:t xml:space="preserve"> Turunçgillerin flavonoid içerikleri</w:t>
      </w:r>
    </w:p>
    <w:p w:rsidR="00A06540" w:rsidRPr="00A06540" w:rsidRDefault="00A06540" w:rsidP="00A06540">
      <w:pPr>
        <w:spacing w:before="120" w:after="60"/>
        <w:rPr>
          <w:sz w:val="20"/>
          <w:szCs w:val="20"/>
        </w:rPr>
      </w:pPr>
      <w:r w:rsidRPr="00A06540">
        <w:rPr>
          <w:b/>
          <w:sz w:val="20"/>
          <w:szCs w:val="20"/>
        </w:rPr>
        <w:t>Table 1.</w:t>
      </w:r>
      <w:r w:rsidRPr="00A06540">
        <w:rPr>
          <w:sz w:val="20"/>
          <w:szCs w:val="20"/>
        </w:rPr>
        <w:t xml:space="preserve"> Flavonoid contents of citrus fruits</w:t>
      </w:r>
    </w:p>
    <w:tbl>
      <w:tblPr>
        <w:tblW w:w="11504" w:type="dxa"/>
        <w:tblInd w:w="-1134" w:type="dxa"/>
        <w:tblLayout w:type="fixed"/>
        <w:tblCellMar>
          <w:left w:w="70" w:type="dxa"/>
          <w:right w:w="70" w:type="dxa"/>
        </w:tblCellMar>
        <w:tblLook w:val="04A0" w:firstRow="1" w:lastRow="0" w:firstColumn="1" w:lastColumn="0" w:noHBand="0" w:noVBand="1"/>
      </w:tblPr>
      <w:tblGrid>
        <w:gridCol w:w="1560"/>
        <w:gridCol w:w="1297"/>
        <w:gridCol w:w="1276"/>
        <w:gridCol w:w="1418"/>
        <w:gridCol w:w="1701"/>
        <w:gridCol w:w="1275"/>
        <w:gridCol w:w="1418"/>
        <w:gridCol w:w="1559"/>
      </w:tblGrid>
      <w:tr w:rsidR="00A06540" w:rsidRPr="00A37C23" w:rsidTr="00A06540">
        <w:trPr>
          <w:trHeight w:val="610"/>
        </w:trPr>
        <w:tc>
          <w:tcPr>
            <w:tcW w:w="1560" w:type="dxa"/>
            <w:tcBorders>
              <w:top w:val="single" w:sz="4" w:space="0" w:color="auto"/>
              <w:bottom w:val="single" w:sz="4" w:space="0" w:color="auto"/>
            </w:tcBorders>
            <w:shd w:val="clear" w:color="auto" w:fill="auto"/>
            <w:noWrap/>
            <w:vAlign w:val="bottom"/>
            <w:hideMark/>
          </w:tcPr>
          <w:p w:rsidR="00A06540" w:rsidRPr="00A37C23" w:rsidRDefault="00A06540" w:rsidP="00A06540">
            <w:pPr>
              <w:rPr>
                <w:b/>
                <w:sz w:val="22"/>
                <w:szCs w:val="22"/>
              </w:rPr>
            </w:pPr>
            <w:r w:rsidRPr="00A37C23">
              <w:rPr>
                <w:b/>
                <w:sz w:val="22"/>
                <w:szCs w:val="22"/>
              </w:rPr>
              <w:t>Flavonoidler (mg</w:t>
            </w:r>
            <w:r>
              <w:rPr>
                <w:b/>
                <w:sz w:val="22"/>
                <w:szCs w:val="22"/>
              </w:rPr>
              <w:t>/100mL</w:t>
            </w:r>
            <w:r w:rsidRPr="00A37C23">
              <w:rPr>
                <w:b/>
                <w:sz w:val="22"/>
                <w:szCs w:val="22"/>
              </w:rPr>
              <w:t>)</w:t>
            </w:r>
          </w:p>
        </w:tc>
        <w:tc>
          <w:tcPr>
            <w:tcW w:w="1297" w:type="dxa"/>
            <w:tcBorders>
              <w:top w:val="single" w:sz="4" w:space="0" w:color="auto"/>
              <w:bottom w:val="single" w:sz="4" w:space="0" w:color="auto"/>
            </w:tcBorders>
            <w:shd w:val="clear" w:color="auto" w:fill="auto"/>
            <w:noWrap/>
            <w:vAlign w:val="bottom"/>
            <w:hideMark/>
          </w:tcPr>
          <w:p w:rsidR="00A06540" w:rsidRPr="00A37C23" w:rsidRDefault="00A06540" w:rsidP="00A06540">
            <w:pPr>
              <w:jc w:val="center"/>
              <w:rPr>
                <w:b/>
                <w:sz w:val="22"/>
                <w:szCs w:val="22"/>
              </w:rPr>
            </w:pPr>
            <w:r w:rsidRPr="00A37C23">
              <w:rPr>
                <w:b/>
                <w:sz w:val="22"/>
                <w:szCs w:val="22"/>
              </w:rPr>
              <w:t>Portakal Suyu</w:t>
            </w:r>
          </w:p>
          <w:p w:rsidR="00A06540" w:rsidRPr="00A37C23" w:rsidRDefault="00A06540" w:rsidP="00A06540">
            <w:pPr>
              <w:jc w:val="center"/>
              <w:rPr>
                <w:b/>
                <w:sz w:val="22"/>
                <w:szCs w:val="22"/>
              </w:rPr>
            </w:pPr>
            <w:r w:rsidRPr="00A37C23">
              <w:rPr>
                <w:b/>
                <w:sz w:val="22"/>
                <w:szCs w:val="22"/>
              </w:rPr>
              <w:t>(C.Sinensis)</w:t>
            </w:r>
          </w:p>
        </w:tc>
        <w:tc>
          <w:tcPr>
            <w:tcW w:w="1276" w:type="dxa"/>
            <w:tcBorders>
              <w:top w:val="single" w:sz="4" w:space="0" w:color="auto"/>
              <w:bottom w:val="single" w:sz="4" w:space="0" w:color="auto"/>
            </w:tcBorders>
            <w:vAlign w:val="bottom"/>
          </w:tcPr>
          <w:p w:rsidR="00A06540" w:rsidRPr="00A37C23" w:rsidRDefault="00A06540" w:rsidP="00A06540">
            <w:pPr>
              <w:jc w:val="center"/>
              <w:rPr>
                <w:b/>
                <w:sz w:val="22"/>
                <w:szCs w:val="22"/>
              </w:rPr>
            </w:pPr>
            <w:r w:rsidRPr="00A37C23">
              <w:rPr>
                <w:b/>
                <w:sz w:val="22"/>
                <w:szCs w:val="22"/>
              </w:rPr>
              <w:t>Greyfurt Suyu</w:t>
            </w:r>
          </w:p>
          <w:p w:rsidR="00A06540" w:rsidRPr="00A37C23" w:rsidRDefault="00A06540" w:rsidP="00A06540">
            <w:pPr>
              <w:jc w:val="center"/>
              <w:rPr>
                <w:b/>
                <w:sz w:val="22"/>
                <w:szCs w:val="22"/>
              </w:rPr>
            </w:pPr>
            <w:r w:rsidRPr="00A37C23">
              <w:rPr>
                <w:b/>
                <w:sz w:val="22"/>
                <w:szCs w:val="22"/>
              </w:rPr>
              <w:t>(C.paradisi)</w:t>
            </w:r>
          </w:p>
        </w:tc>
        <w:tc>
          <w:tcPr>
            <w:tcW w:w="1418" w:type="dxa"/>
            <w:tcBorders>
              <w:top w:val="single" w:sz="4" w:space="0" w:color="auto"/>
              <w:bottom w:val="single" w:sz="4" w:space="0" w:color="auto"/>
            </w:tcBorders>
            <w:shd w:val="clear" w:color="auto" w:fill="auto"/>
            <w:noWrap/>
            <w:vAlign w:val="bottom"/>
            <w:hideMark/>
          </w:tcPr>
          <w:p w:rsidR="00A06540" w:rsidRPr="00A37C23" w:rsidRDefault="00A06540" w:rsidP="00A06540">
            <w:pPr>
              <w:jc w:val="center"/>
              <w:rPr>
                <w:b/>
                <w:sz w:val="22"/>
                <w:szCs w:val="22"/>
              </w:rPr>
            </w:pPr>
            <w:r w:rsidRPr="00A37C23">
              <w:rPr>
                <w:b/>
                <w:sz w:val="22"/>
                <w:szCs w:val="22"/>
              </w:rPr>
              <w:t>Mandalina Suyu</w:t>
            </w:r>
          </w:p>
          <w:p w:rsidR="00A06540" w:rsidRPr="00A37C23" w:rsidRDefault="00A06540" w:rsidP="00A06540">
            <w:pPr>
              <w:jc w:val="center"/>
              <w:rPr>
                <w:b/>
                <w:sz w:val="22"/>
                <w:szCs w:val="22"/>
              </w:rPr>
            </w:pPr>
            <w:r w:rsidRPr="00A37C23">
              <w:rPr>
                <w:b/>
                <w:sz w:val="22"/>
                <w:szCs w:val="22"/>
              </w:rPr>
              <w:t>(C.reticulata)</w:t>
            </w:r>
          </w:p>
        </w:tc>
        <w:tc>
          <w:tcPr>
            <w:tcW w:w="1701" w:type="dxa"/>
            <w:tcBorders>
              <w:top w:val="single" w:sz="4" w:space="0" w:color="auto"/>
              <w:bottom w:val="single" w:sz="4" w:space="0" w:color="auto"/>
            </w:tcBorders>
            <w:shd w:val="clear" w:color="auto" w:fill="auto"/>
            <w:noWrap/>
            <w:vAlign w:val="bottom"/>
            <w:hideMark/>
          </w:tcPr>
          <w:p w:rsidR="00A06540" w:rsidRPr="00A37C23" w:rsidRDefault="00A06540" w:rsidP="00A06540">
            <w:pPr>
              <w:jc w:val="center"/>
              <w:rPr>
                <w:b/>
                <w:sz w:val="22"/>
                <w:szCs w:val="22"/>
              </w:rPr>
            </w:pPr>
            <w:r w:rsidRPr="00A37C23">
              <w:rPr>
                <w:b/>
                <w:sz w:val="22"/>
                <w:szCs w:val="22"/>
              </w:rPr>
              <w:t>Misket Limon Suyu</w:t>
            </w:r>
          </w:p>
          <w:p w:rsidR="00A06540" w:rsidRPr="00A37C23" w:rsidRDefault="00A06540" w:rsidP="00A06540">
            <w:pPr>
              <w:jc w:val="center"/>
              <w:rPr>
                <w:b/>
                <w:sz w:val="22"/>
                <w:szCs w:val="22"/>
              </w:rPr>
            </w:pPr>
            <w:r w:rsidRPr="00A37C23">
              <w:rPr>
                <w:b/>
                <w:sz w:val="22"/>
                <w:szCs w:val="22"/>
              </w:rPr>
              <w:t>(C.aurantifolia)</w:t>
            </w:r>
          </w:p>
        </w:tc>
        <w:tc>
          <w:tcPr>
            <w:tcW w:w="1275" w:type="dxa"/>
            <w:tcBorders>
              <w:top w:val="single" w:sz="4" w:space="0" w:color="auto"/>
              <w:bottom w:val="single" w:sz="4" w:space="0" w:color="auto"/>
            </w:tcBorders>
            <w:shd w:val="clear" w:color="auto" w:fill="auto"/>
            <w:noWrap/>
            <w:vAlign w:val="bottom"/>
            <w:hideMark/>
          </w:tcPr>
          <w:p w:rsidR="00A06540" w:rsidRPr="00A37C23" w:rsidRDefault="00A06540" w:rsidP="00A06540">
            <w:pPr>
              <w:jc w:val="center"/>
              <w:rPr>
                <w:b/>
                <w:sz w:val="22"/>
                <w:szCs w:val="22"/>
              </w:rPr>
            </w:pPr>
            <w:r w:rsidRPr="00A37C23">
              <w:rPr>
                <w:b/>
                <w:sz w:val="22"/>
                <w:szCs w:val="22"/>
              </w:rPr>
              <w:t>Limon Suyu</w:t>
            </w:r>
          </w:p>
          <w:p w:rsidR="00A06540" w:rsidRPr="00A37C23" w:rsidRDefault="00A06540" w:rsidP="00A06540">
            <w:pPr>
              <w:jc w:val="center"/>
              <w:rPr>
                <w:b/>
                <w:sz w:val="22"/>
                <w:szCs w:val="22"/>
              </w:rPr>
            </w:pPr>
            <w:r w:rsidRPr="00A37C23">
              <w:rPr>
                <w:b/>
                <w:sz w:val="22"/>
                <w:szCs w:val="22"/>
              </w:rPr>
              <w:t>(C.limon)</w:t>
            </w:r>
          </w:p>
        </w:tc>
        <w:tc>
          <w:tcPr>
            <w:tcW w:w="1418" w:type="dxa"/>
            <w:tcBorders>
              <w:top w:val="single" w:sz="4" w:space="0" w:color="auto"/>
              <w:bottom w:val="single" w:sz="4" w:space="0" w:color="auto"/>
            </w:tcBorders>
            <w:shd w:val="clear" w:color="auto" w:fill="auto"/>
            <w:noWrap/>
            <w:vAlign w:val="bottom"/>
            <w:hideMark/>
          </w:tcPr>
          <w:p w:rsidR="00A06540" w:rsidRPr="00A37C23" w:rsidRDefault="00A06540" w:rsidP="00A06540">
            <w:pPr>
              <w:jc w:val="center"/>
              <w:rPr>
                <w:b/>
                <w:sz w:val="22"/>
                <w:szCs w:val="22"/>
              </w:rPr>
            </w:pPr>
            <w:r w:rsidRPr="00A37C23">
              <w:rPr>
                <w:b/>
                <w:sz w:val="22"/>
                <w:szCs w:val="22"/>
              </w:rPr>
              <w:t>Bergamot Suyu</w:t>
            </w:r>
          </w:p>
          <w:p w:rsidR="00A06540" w:rsidRPr="00A37C23" w:rsidRDefault="00A06540" w:rsidP="00A06540">
            <w:pPr>
              <w:jc w:val="center"/>
              <w:rPr>
                <w:b/>
                <w:sz w:val="22"/>
                <w:szCs w:val="22"/>
              </w:rPr>
            </w:pPr>
            <w:r w:rsidRPr="00A37C23">
              <w:rPr>
                <w:b/>
                <w:sz w:val="22"/>
                <w:szCs w:val="22"/>
              </w:rPr>
              <w:t>(C.bergamia)</w:t>
            </w:r>
          </w:p>
        </w:tc>
        <w:tc>
          <w:tcPr>
            <w:tcW w:w="1559" w:type="dxa"/>
            <w:tcBorders>
              <w:top w:val="single" w:sz="4" w:space="0" w:color="auto"/>
              <w:bottom w:val="single" w:sz="4" w:space="0" w:color="auto"/>
            </w:tcBorders>
            <w:shd w:val="clear" w:color="auto" w:fill="auto"/>
            <w:noWrap/>
            <w:vAlign w:val="bottom"/>
            <w:hideMark/>
          </w:tcPr>
          <w:p w:rsidR="00A06540" w:rsidRPr="00A37C23" w:rsidRDefault="00A06540" w:rsidP="00A06540">
            <w:pPr>
              <w:jc w:val="center"/>
              <w:rPr>
                <w:b/>
                <w:sz w:val="22"/>
                <w:szCs w:val="22"/>
              </w:rPr>
            </w:pPr>
            <w:r w:rsidRPr="00A37C23">
              <w:rPr>
                <w:b/>
                <w:sz w:val="22"/>
                <w:szCs w:val="22"/>
              </w:rPr>
              <w:t>Turunç</w:t>
            </w:r>
          </w:p>
          <w:p w:rsidR="00A06540" w:rsidRPr="00A37C23" w:rsidRDefault="00A06540" w:rsidP="00A06540">
            <w:pPr>
              <w:jc w:val="center"/>
              <w:rPr>
                <w:b/>
                <w:sz w:val="22"/>
                <w:szCs w:val="22"/>
              </w:rPr>
            </w:pPr>
            <w:r w:rsidRPr="00A37C23">
              <w:rPr>
                <w:b/>
                <w:sz w:val="22"/>
                <w:szCs w:val="22"/>
              </w:rPr>
              <w:t>Suyu</w:t>
            </w:r>
          </w:p>
          <w:p w:rsidR="00A06540" w:rsidRPr="00A37C23" w:rsidRDefault="00A06540" w:rsidP="00A06540">
            <w:pPr>
              <w:jc w:val="center"/>
              <w:rPr>
                <w:b/>
                <w:sz w:val="22"/>
                <w:szCs w:val="22"/>
              </w:rPr>
            </w:pPr>
            <w:r w:rsidRPr="00A37C23">
              <w:rPr>
                <w:b/>
                <w:sz w:val="22"/>
                <w:szCs w:val="22"/>
              </w:rPr>
              <w:t>(C.aurantium)</w:t>
            </w:r>
          </w:p>
        </w:tc>
      </w:tr>
      <w:tr w:rsidR="00A06540" w:rsidRPr="00A37C23" w:rsidTr="00A06540">
        <w:trPr>
          <w:trHeight w:val="300"/>
        </w:trPr>
        <w:tc>
          <w:tcPr>
            <w:tcW w:w="1560" w:type="dxa"/>
            <w:shd w:val="clear" w:color="auto" w:fill="auto"/>
            <w:noWrap/>
            <w:vAlign w:val="bottom"/>
            <w:hideMark/>
          </w:tcPr>
          <w:p w:rsidR="00A06540" w:rsidRPr="00A37C23" w:rsidRDefault="00A06540" w:rsidP="00A06540">
            <w:pPr>
              <w:ind w:right="-66"/>
              <w:rPr>
                <w:b/>
                <w:sz w:val="22"/>
                <w:szCs w:val="22"/>
              </w:rPr>
            </w:pPr>
            <w:r w:rsidRPr="00A37C23">
              <w:rPr>
                <w:b/>
                <w:sz w:val="22"/>
                <w:szCs w:val="22"/>
              </w:rPr>
              <w:t>Eriositrin</w:t>
            </w:r>
          </w:p>
        </w:tc>
        <w:tc>
          <w:tcPr>
            <w:tcW w:w="1297" w:type="dxa"/>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31</w:t>
            </w:r>
          </w:p>
        </w:tc>
        <w:tc>
          <w:tcPr>
            <w:tcW w:w="1276" w:type="dxa"/>
            <w:vAlign w:val="bottom"/>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41</w:t>
            </w:r>
          </w:p>
        </w:tc>
        <w:tc>
          <w:tcPr>
            <w:tcW w:w="1418" w:type="dxa"/>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31</w:t>
            </w:r>
          </w:p>
        </w:tc>
        <w:tc>
          <w:tcPr>
            <w:tcW w:w="1701" w:type="dxa"/>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29</w:t>
            </w:r>
          </w:p>
        </w:tc>
        <w:tc>
          <w:tcPr>
            <w:tcW w:w="1275" w:type="dxa"/>
            <w:shd w:val="clear" w:color="auto" w:fill="auto"/>
            <w:noWrap/>
            <w:vAlign w:val="bottom"/>
            <w:hideMark/>
          </w:tcPr>
          <w:p w:rsidR="00A06540" w:rsidRPr="00A37C23" w:rsidRDefault="00A06540" w:rsidP="00A06540">
            <w:pPr>
              <w:jc w:val="center"/>
              <w:rPr>
                <w:sz w:val="22"/>
                <w:szCs w:val="22"/>
              </w:rPr>
            </w:pPr>
            <w:r w:rsidRPr="00A37C23">
              <w:rPr>
                <w:sz w:val="22"/>
                <w:szCs w:val="22"/>
              </w:rPr>
              <w:t>16</w:t>
            </w:r>
            <w:r w:rsidR="002773F1">
              <w:rPr>
                <w:sz w:val="22"/>
                <w:szCs w:val="22"/>
              </w:rPr>
              <w:t>.</w:t>
            </w:r>
            <w:r w:rsidRPr="00A37C23">
              <w:rPr>
                <w:sz w:val="22"/>
                <w:szCs w:val="22"/>
              </w:rPr>
              <w:t>7</w:t>
            </w:r>
          </w:p>
        </w:tc>
        <w:tc>
          <w:tcPr>
            <w:tcW w:w="1418" w:type="dxa"/>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559" w:type="dxa"/>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r>
      <w:tr w:rsidR="00A06540" w:rsidRPr="00A37C23" w:rsidTr="00A06540">
        <w:trPr>
          <w:trHeight w:val="300"/>
        </w:trPr>
        <w:tc>
          <w:tcPr>
            <w:tcW w:w="1560" w:type="dxa"/>
            <w:tcBorders>
              <w:top w:val="nil"/>
            </w:tcBorders>
            <w:shd w:val="clear" w:color="auto" w:fill="auto"/>
            <w:noWrap/>
            <w:vAlign w:val="bottom"/>
            <w:hideMark/>
          </w:tcPr>
          <w:p w:rsidR="00A06540" w:rsidRPr="00A37C23" w:rsidRDefault="00A06540" w:rsidP="00A06540">
            <w:pPr>
              <w:ind w:right="-66"/>
              <w:rPr>
                <w:b/>
                <w:sz w:val="22"/>
                <w:szCs w:val="22"/>
              </w:rPr>
            </w:pPr>
            <w:r w:rsidRPr="00A37C23">
              <w:rPr>
                <w:b/>
                <w:sz w:val="22"/>
                <w:szCs w:val="22"/>
              </w:rPr>
              <w:t>Neoeriositrin</w:t>
            </w:r>
          </w:p>
        </w:tc>
        <w:tc>
          <w:tcPr>
            <w:tcW w:w="1297"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59</w:t>
            </w:r>
          </w:p>
        </w:tc>
        <w:tc>
          <w:tcPr>
            <w:tcW w:w="1276" w:type="dxa"/>
            <w:tcBorders>
              <w:top w:val="nil"/>
            </w:tcBorders>
            <w:vAlign w:val="bottom"/>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32</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05</w:t>
            </w:r>
          </w:p>
        </w:tc>
        <w:tc>
          <w:tcPr>
            <w:tcW w:w="1701"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275"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1</w:t>
            </w:r>
            <w:r w:rsidR="002773F1">
              <w:rPr>
                <w:sz w:val="22"/>
                <w:szCs w:val="22"/>
              </w:rPr>
              <w:t>.</w:t>
            </w:r>
            <w:r w:rsidRPr="00A37C23">
              <w:rPr>
                <w:sz w:val="22"/>
                <w:szCs w:val="22"/>
              </w:rPr>
              <w:t>38</w:t>
            </w:r>
          </w:p>
        </w:tc>
        <w:tc>
          <w:tcPr>
            <w:tcW w:w="1559"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77</w:t>
            </w:r>
          </w:p>
        </w:tc>
      </w:tr>
      <w:tr w:rsidR="00A06540" w:rsidRPr="00A37C23" w:rsidTr="00A06540">
        <w:trPr>
          <w:trHeight w:val="300"/>
        </w:trPr>
        <w:tc>
          <w:tcPr>
            <w:tcW w:w="1560" w:type="dxa"/>
            <w:tcBorders>
              <w:top w:val="nil"/>
            </w:tcBorders>
            <w:shd w:val="clear" w:color="auto" w:fill="auto"/>
            <w:noWrap/>
            <w:vAlign w:val="bottom"/>
            <w:hideMark/>
          </w:tcPr>
          <w:p w:rsidR="00A06540" w:rsidRPr="00A37C23" w:rsidRDefault="00A06540" w:rsidP="00A06540">
            <w:pPr>
              <w:ind w:right="-66"/>
              <w:rPr>
                <w:b/>
                <w:sz w:val="22"/>
                <w:szCs w:val="22"/>
              </w:rPr>
            </w:pPr>
            <w:r w:rsidRPr="00A37C23">
              <w:rPr>
                <w:b/>
                <w:sz w:val="22"/>
                <w:szCs w:val="22"/>
              </w:rPr>
              <w:t>Hesperidin</w:t>
            </w:r>
          </w:p>
        </w:tc>
        <w:tc>
          <w:tcPr>
            <w:tcW w:w="1297"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28</w:t>
            </w:r>
            <w:r w:rsidR="002773F1">
              <w:rPr>
                <w:sz w:val="22"/>
                <w:szCs w:val="22"/>
              </w:rPr>
              <w:t>.</w:t>
            </w:r>
            <w:r w:rsidRPr="00A37C23">
              <w:rPr>
                <w:sz w:val="22"/>
                <w:szCs w:val="22"/>
              </w:rPr>
              <w:t>6</w:t>
            </w:r>
          </w:p>
        </w:tc>
        <w:tc>
          <w:tcPr>
            <w:tcW w:w="1276" w:type="dxa"/>
            <w:tcBorders>
              <w:top w:val="nil"/>
            </w:tcBorders>
            <w:vAlign w:val="bottom"/>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93</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24</w:t>
            </w:r>
            <w:r w:rsidR="002773F1">
              <w:rPr>
                <w:sz w:val="22"/>
                <w:szCs w:val="22"/>
              </w:rPr>
              <w:t>.</w:t>
            </w:r>
            <w:r w:rsidRPr="00A37C23">
              <w:rPr>
                <w:sz w:val="22"/>
                <w:szCs w:val="22"/>
              </w:rPr>
              <w:t>3</w:t>
            </w:r>
          </w:p>
        </w:tc>
        <w:tc>
          <w:tcPr>
            <w:tcW w:w="1701"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1</w:t>
            </w:r>
            <w:r w:rsidR="002773F1">
              <w:rPr>
                <w:sz w:val="22"/>
                <w:szCs w:val="22"/>
              </w:rPr>
              <w:t>.</w:t>
            </w:r>
            <w:r w:rsidRPr="00A37C23">
              <w:rPr>
                <w:sz w:val="22"/>
                <w:szCs w:val="22"/>
              </w:rPr>
              <w:t>77</w:t>
            </w:r>
          </w:p>
        </w:tc>
        <w:tc>
          <w:tcPr>
            <w:tcW w:w="1275"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20</w:t>
            </w:r>
            <w:r w:rsidR="002773F1">
              <w:rPr>
                <w:sz w:val="22"/>
                <w:szCs w:val="22"/>
              </w:rPr>
              <w:t>.</w:t>
            </w:r>
            <w:r w:rsidRPr="00A37C23">
              <w:rPr>
                <w:sz w:val="22"/>
                <w:szCs w:val="22"/>
              </w:rPr>
              <w:t>5</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559"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r>
      <w:tr w:rsidR="00A06540" w:rsidRPr="00A37C23" w:rsidTr="00A06540">
        <w:trPr>
          <w:trHeight w:val="300"/>
        </w:trPr>
        <w:tc>
          <w:tcPr>
            <w:tcW w:w="1560" w:type="dxa"/>
            <w:tcBorders>
              <w:top w:val="nil"/>
            </w:tcBorders>
            <w:shd w:val="clear" w:color="auto" w:fill="auto"/>
            <w:noWrap/>
            <w:vAlign w:val="bottom"/>
            <w:hideMark/>
          </w:tcPr>
          <w:p w:rsidR="00A06540" w:rsidRPr="00A37C23" w:rsidRDefault="00A06540" w:rsidP="00A06540">
            <w:pPr>
              <w:ind w:right="-66"/>
              <w:rPr>
                <w:b/>
                <w:sz w:val="22"/>
                <w:szCs w:val="22"/>
              </w:rPr>
            </w:pPr>
            <w:bookmarkStart w:id="7" w:name="RANGE!B17"/>
            <w:r w:rsidRPr="00A37C23">
              <w:rPr>
                <w:b/>
                <w:sz w:val="22"/>
                <w:szCs w:val="22"/>
              </w:rPr>
              <w:t>Neohesperidin</w:t>
            </w:r>
            <w:bookmarkEnd w:id="7"/>
          </w:p>
        </w:tc>
        <w:tc>
          <w:tcPr>
            <w:tcW w:w="1297"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276" w:type="dxa"/>
            <w:tcBorders>
              <w:top w:val="nil"/>
            </w:tcBorders>
            <w:vAlign w:val="bottom"/>
          </w:tcPr>
          <w:p w:rsidR="00A06540" w:rsidRPr="00A37C23" w:rsidRDefault="00A06540" w:rsidP="00A06540">
            <w:pPr>
              <w:jc w:val="center"/>
              <w:rPr>
                <w:sz w:val="22"/>
                <w:szCs w:val="22"/>
              </w:rPr>
            </w:pPr>
            <w:r w:rsidRPr="00A37C23">
              <w:rPr>
                <w:sz w:val="22"/>
                <w:szCs w:val="22"/>
              </w:rPr>
              <w:t>1</w:t>
            </w:r>
            <w:r w:rsidR="002773F1">
              <w:rPr>
                <w:sz w:val="22"/>
                <w:szCs w:val="22"/>
              </w:rPr>
              <w:t>.</w:t>
            </w:r>
            <w:r w:rsidRPr="00A37C23">
              <w:rPr>
                <w:sz w:val="22"/>
                <w:szCs w:val="22"/>
              </w:rPr>
              <w:t>21</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701"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275"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1</w:t>
            </w:r>
            <w:r w:rsidR="002773F1">
              <w:rPr>
                <w:sz w:val="22"/>
                <w:szCs w:val="22"/>
              </w:rPr>
              <w:t>.</w:t>
            </w:r>
            <w:r w:rsidRPr="00A37C23">
              <w:rPr>
                <w:sz w:val="22"/>
                <w:szCs w:val="22"/>
              </w:rPr>
              <w:t>60</w:t>
            </w:r>
          </w:p>
        </w:tc>
        <w:tc>
          <w:tcPr>
            <w:tcW w:w="1559"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87</w:t>
            </w:r>
          </w:p>
        </w:tc>
      </w:tr>
      <w:tr w:rsidR="00A06540" w:rsidRPr="00A37C23" w:rsidTr="00A06540">
        <w:trPr>
          <w:trHeight w:val="300"/>
        </w:trPr>
        <w:tc>
          <w:tcPr>
            <w:tcW w:w="1560" w:type="dxa"/>
            <w:tcBorders>
              <w:top w:val="nil"/>
            </w:tcBorders>
            <w:shd w:val="clear" w:color="auto" w:fill="auto"/>
            <w:noWrap/>
            <w:vAlign w:val="bottom"/>
            <w:hideMark/>
          </w:tcPr>
          <w:p w:rsidR="00A06540" w:rsidRPr="00A37C23" w:rsidRDefault="00A06540" w:rsidP="00A06540">
            <w:pPr>
              <w:ind w:right="-66"/>
              <w:rPr>
                <w:b/>
                <w:sz w:val="22"/>
                <w:szCs w:val="22"/>
              </w:rPr>
            </w:pPr>
            <w:r w:rsidRPr="00A37C23">
              <w:rPr>
                <w:b/>
                <w:sz w:val="22"/>
                <w:szCs w:val="22"/>
              </w:rPr>
              <w:t>Naringin</w:t>
            </w:r>
          </w:p>
        </w:tc>
        <w:tc>
          <w:tcPr>
            <w:tcW w:w="1297"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21</w:t>
            </w:r>
            <w:r w:rsidR="002773F1">
              <w:rPr>
                <w:sz w:val="22"/>
                <w:szCs w:val="22"/>
              </w:rPr>
              <w:t>.</w:t>
            </w:r>
            <w:r w:rsidRPr="00A37C23">
              <w:rPr>
                <w:sz w:val="22"/>
                <w:szCs w:val="22"/>
              </w:rPr>
              <w:t>3</w:t>
            </w:r>
          </w:p>
        </w:tc>
        <w:tc>
          <w:tcPr>
            <w:tcW w:w="1276" w:type="dxa"/>
            <w:tcBorders>
              <w:top w:val="nil"/>
            </w:tcBorders>
            <w:vAlign w:val="bottom"/>
          </w:tcPr>
          <w:p w:rsidR="00A06540" w:rsidRPr="00A37C23" w:rsidRDefault="00A06540" w:rsidP="00A06540">
            <w:pPr>
              <w:jc w:val="center"/>
              <w:rPr>
                <w:sz w:val="22"/>
                <w:szCs w:val="22"/>
              </w:rPr>
            </w:pPr>
            <w:r w:rsidRPr="00A37C23">
              <w:rPr>
                <w:sz w:val="22"/>
                <w:szCs w:val="22"/>
              </w:rPr>
              <w:t>23</w:t>
            </w:r>
            <w:r w:rsidR="002773F1">
              <w:rPr>
                <w:sz w:val="22"/>
                <w:szCs w:val="22"/>
              </w:rPr>
              <w:t>.</w:t>
            </w:r>
            <w:r w:rsidRPr="00A37C23">
              <w:rPr>
                <w:sz w:val="22"/>
                <w:szCs w:val="22"/>
              </w:rPr>
              <w:t>0</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701"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275"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2</w:t>
            </w:r>
            <w:r w:rsidR="002773F1">
              <w:rPr>
                <w:sz w:val="22"/>
                <w:szCs w:val="22"/>
              </w:rPr>
              <w:t>.</w:t>
            </w:r>
            <w:r w:rsidRPr="00A37C23">
              <w:rPr>
                <w:sz w:val="22"/>
                <w:szCs w:val="22"/>
              </w:rPr>
              <w:t>23</w:t>
            </w:r>
          </w:p>
        </w:tc>
        <w:tc>
          <w:tcPr>
            <w:tcW w:w="1559"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1</w:t>
            </w:r>
            <w:r w:rsidR="002773F1">
              <w:rPr>
                <w:sz w:val="22"/>
                <w:szCs w:val="22"/>
              </w:rPr>
              <w:t>.</w:t>
            </w:r>
            <w:r w:rsidRPr="00A37C23">
              <w:rPr>
                <w:sz w:val="22"/>
                <w:szCs w:val="22"/>
              </w:rPr>
              <w:t>97</w:t>
            </w:r>
          </w:p>
        </w:tc>
      </w:tr>
      <w:tr w:rsidR="00A06540" w:rsidRPr="00A37C23" w:rsidTr="00A06540">
        <w:trPr>
          <w:trHeight w:val="300"/>
        </w:trPr>
        <w:tc>
          <w:tcPr>
            <w:tcW w:w="1560" w:type="dxa"/>
            <w:tcBorders>
              <w:top w:val="nil"/>
              <w:bottom w:val="nil"/>
            </w:tcBorders>
            <w:shd w:val="clear" w:color="auto" w:fill="auto"/>
            <w:noWrap/>
            <w:vAlign w:val="bottom"/>
            <w:hideMark/>
          </w:tcPr>
          <w:p w:rsidR="00A06540" w:rsidRPr="00A37C23" w:rsidRDefault="00A06540" w:rsidP="00A06540">
            <w:pPr>
              <w:ind w:right="-66"/>
              <w:rPr>
                <w:b/>
                <w:sz w:val="22"/>
                <w:szCs w:val="22"/>
              </w:rPr>
            </w:pPr>
            <w:r w:rsidRPr="00A37C23">
              <w:rPr>
                <w:b/>
                <w:sz w:val="22"/>
                <w:szCs w:val="22"/>
              </w:rPr>
              <w:t>Naringenin</w:t>
            </w:r>
          </w:p>
        </w:tc>
        <w:tc>
          <w:tcPr>
            <w:tcW w:w="1297" w:type="dxa"/>
            <w:tcBorders>
              <w:top w:val="nil"/>
              <w:bottom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276" w:type="dxa"/>
            <w:tcBorders>
              <w:top w:val="nil"/>
              <w:bottom w:val="nil"/>
            </w:tcBorders>
            <w:vAlign w:val="bottom"/>
          </w:tcPr>
          <w:p w:rsidR="00A06540" w:rsidRPr="00A37C23" w:rsidRDefault="00A06540" w:rsidP="00A06540">
            <w:pPr>
              <w:jc w:val="center"/>
              <w:rPr>
                <w:sz w:val="22"/>
                <w:szCs w:val="22"/>
              </w:rPr>
            </w:pPr>
            <w:r w:rsidRPr="00A37C23">
              <w:rPr>
                <w:sz w:val="22"/>
                <w:szCs w:val="22"/>
              </w:rPr>
              <w:t>2</w:t>
            </w:r>
            <w:r w:rsidR="002773F1">
              <w:rPr>
                <w:sz w:val="22"/>
                <w:szCs w:val="22"/>
              </w:rPr>
              <w:t>.</w:t>
            </w:r>
            <w:r w:rsidRPr="00A37C23">
              <w:rPr>
                <w:sz w:val="22"/>
                <w:szCs w:val="22"/>
              </w:rPr>
              <w:t>70</w:t>
            </w:r>
          </w:p>
        </w:tc>
        <w:tc>
          <w:tcPr>
            <w:tcW w:w="1418" w:type="dxa"/>
            <w:tcBorders>
              <w:top w:val="nil"/>
              <w:bottom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701" w:type="dxa"/>
            <w:tcBorders>
              <w:top w:val="nil"/>
              <w:bottom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275" w:type="dxa"/>
            <w:tcBorders>
              <w:top w:val="nil"/>
              <w:bottom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418" w:type="dxa"/>
            <w:tcBorders>
              <w:top w:val="nil"/>
              <w:bottom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559" w:type="dxa"/>
            <w:tcBorders>
              <w:top w:val="nil"/>
              <w:bottom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r>
      <w:tr w:rsidR="00A06540" w:rsidRPr="00A37C23" w:rsidTr="00A06540">
        <w:trPr>
          <w:trHeight w:val="300"/>
        </w:trPr>
        <w:tc>
          <w:tcPr>
            <w:tcW w:w="1560" w:type="dxa"/>
            <w:tcBorders>
              <w:top w:val="nil"/>
            </w:tcBorders>
            <w:shd w:val="clear" w:color="auto" w:fill="auto"/>
            <w:noWrap/>
            <w:vAlign w:val="bottom"/>
            <w:hideMark/>
          </w:tcPr>
          <w:p w:rsidR="00A06540" w:rsidRPr="00A37C23" w:rsidRDefault="00A06540" w:rsidP="00A06540">
            <w:pPr>
              <w:ind w:right="-66"/>
              <w:rPr>
                <w:b/>
                <w:sz w:val="22"/>
                <w:szCs w:val="22"/>
              </w:rPr>
            </w:pPr>
            <w:r w:rsidRPr="00A37C23">
              <w:rPr>
                <w:b/>
                <w:sz w:val="22"/>
                <w:szCs w:val="22"/>
              </w:rPr>
              <w:t>Narirutin</w:t>
            </w:r>
          </w:p>
        </w:tc>
        <w:tc>
          <w:tcPr>
            <w:tcW w:w="1297"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5</w:t>
            </w:r>
            <w:r w:rsidR="002773F1">
              <w:rPr>
                <w:sz w:val="22"/>
                <w:szCs w:val="22"/>
              </w:rPr>
              <w:t>.</w:t>
            </w:r>
            <w:r w:rsidRPr="00A37C23">
              <w:rPr>
                <w:sz w:val="22"/>
                <w:szCs w:val="22"/>
              </w:rPr>
              <w:t>2</w:t>
            </w:r>
          </w:p>
        </w:tc>
        <w:tc>
          <w:tcPr>
            <w:tcW w:w="1276" w:type="dxa"/>
            <w:tcBorders>
              <w:top w:val="nil"/>
            </w:tcBorders>
            <w:vAlign w:val="bottom"/>
          </w:tcPr>
          <w:p w:rsidR="00A06540" w:rsidRPr="00A37C23" w:rsidRDefault="00A06540" w:rsidP="00A06540">
            <w:pPr>
              <w:jc w:val="center"/>
              <w:rPr>
                <w:sz w:val="22"/>
                <w:szCs w:val="22"/>
              </w:rPr>
            </w:pPr>
            <w:r w:rsidRPr="00A37C23">
              <w:rPr>
                <w:sz w:val="22"/>
                <w:szCs w:val="22"/>
              </w:rPr>
              <w:t>7</w:t>
            </w:r>
            <w:r w:rsidR="002773F1">
              <w:rPr>
                <w:sz w:val="22"/>
                <w:szCs w:val="22"/>
              </w:rPr>
              <w:t>.</w:t>
            </w:r>
            <w:r w:rsidRPr="00A37C23">
              <w:rPr>
                <w:sz w:val="22"/>
                <w:szCs w:val="22"/>
              </w:rPr>
              <w:t>60</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3</w:t>
            </w:r>
            <w:r w:rsidR="002773F1">
              <w:rPr>
                <w:sz w:val="22"/>
                <w:szCs w:val="22"/>
              </w:rPr>
              <w:t>.</w:t>
            </w:r>
            <w:r w:rsidRPr="00A37C23">
              <w:rPr>
                <w:sz w:val="22"/>
                <w:szCs w:val="22"/>
              </w:rPr>
              <w:t>92</w:t>
            </w:r>
          </w:p>
        </w:tc>
        <w:tc>
          <w:tcPr>
            <w:tcW w:w="1701"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275"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559" w:type="dxa"/>
            <w:tcBorders>
              <w:top w:val="nil"/>
            </w:tcBorders>
            <w:shd w:val="clear" w:color="auto" w:fill="auto"/>
            <w:noWrap/>
            <w:vAlign w:val="bottom"/>
            <w:hideMark/>
          </w:tcPr>
          <w:p w:rsidR="00A06540" w:rsidRPr="00A37C23" w:rsidRDefault="00A06540" w:rsidP="00A06540">
            <w:pPr>
              <w:jc w:val="center"/>
              <w:rPr>
                <w:sz w:val="22"/>
                <w:szCs w:val="22"/>
              </w:rPr>
            </w:pPr>
          </w:p>
        </w:tc>
      </w:tr>
      <w:tr w:rsidR="00A06540" w:rsidRPr="00A37C23" w:rsidTr="00A06540">
        <w:trPr>
          <w:trHeight w:val="300"/>
        </w:trPr>
        <w:tc>
          <w:tcPr>
            <w:tcW w:w="1560" w:type="dxa"/>
            <w:tcBorders>
              <w:top w:val="nil"/>
            </w:tcBorders>
            <w:shd w:val="clear" w:color="auto" w:fill="auto"/>
            <w:noWrap/>
            <w:vAlign w:val="bottom"/>
            <w:hideMark/>
          </w:tcPr>
          <w:p w:rsidR="00A06540" w:rsidRPr="00A37C23" w:rsidRDefault="00A06540" w:rsidP="00A06540">
            <w:pPr>
              <w:ind w:right="-66"/>
              <w:rPr>
                <w:b/>
                <w:sz w:val="22"/>
                <w:szCs w:val="22"/>
              </w:rPr>
            </w:pPr>
            <w:r w:rsidRPr="00A37C23">
              <w:rPr>
                <w:b/>
                <w:sz w:val="22"/>
                <w:szCs w:val="22"/>
              </w:rPr>
              <w:t>Nobiletin</w:t>
            </w:r>
          </w:p>
        </w:tc>
        <w:tc>
          <w:tcPr>
            <w:tcW w:w="1297"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33</w:t>
            </w:r>
          </w:p>
        </w:tc>
        <w:tc>
          <w:tcPr>
            <w:tcW w:w="1276" w:type="dxa"/>
            <w:tcBorders>
              <w:top w:val="nil"/>
            </w:tcBorders>
            <w:vAlign w:val="bottom"/>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15</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23</w:t>
            </w:r>
          </w:p>
        </w:tc>
        <w:tc>
          <w:tcPr>
            <w:tcW w:w="1701"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52</w:t>
            </w:r>
          </w:p>
        </w:tc>
        <w:tc>
          <w:tcPr>
            <w:tcW w:w="1275"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559"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r>
      <w:tr w:rsidR="00A06540" w:rsidRPr="00A37C23" w:rsidTr="00A06540">
        <w:trPr>
          <w:trHeight w:val="300"/>
        </w:trPr>
        <w:tc>
          <w:tcPr>
            <w:tcW w:w="1560" w:type="dxa"/>
            <w:tcBorders>
              <w:top w:val="nil"/>
            </w:tcBorders>
            <w:shd w:val="clear" w:color="auto" w:fill="auto"/>
            <w:noWrap/>
            <w:vAlign w:val="bottom"/>
            <w:hideMark/>
          </w:tcPr>
          <w:p w:rsidR="00A06540" w:rsidRPr="00A37C23" w:rsidRDefault="00A06540" w:rsidP="00A06540">
            <w:pPr>
              <w:ind w:right="-66"/>
              <w:rPr>
                <w:b/>
                <w:sz w:val="22"/>
                <w:szCs w:val="22"/>
              </w:rPr>
            </w:pPr>
            <w:r w:rsidRPr="00A37C23">
              <w:rPr>
                <w:b/>
                <w:sz w:val="22"/>
                <w:szCs w:val="22"/>
              </w:rPr>
              <w:t>Tangeretin</w:t>
            </w:r>
          </w:p>
        </w:tc>
        <w:tc>
          <w:tcPr>
            <w:tcW w:w="1297"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04</w:t>
            </w:r>
          </w:p>
        </w:tc>
        <w:tc>
          <w:tcPr>
            <w:tcW w:w="1276" w:type="dxa"/>
            <w:tcBorders>
              <w:top w:val="nil"/>
            </w:tcBorders>
            <w:vAlign w:val="bottom"/>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12</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26</w:t>
            </w:r>
          </w:p>
        </w:tc>
        <w:tc>
          <w:tcPr>
            <w:tcW w:w="1701"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18</w:t>
            </w:r>
          </w:p>
        </w:tc>
        <w:tc>
          <w:tcPr>
            <w:tcW w:w="1275"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559"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08</w:t>
            </w:r>
          </w:p>
        </w:tc>
      </w:tr>
      <w:tr w:rsidR="00A06540" w:rsidRPr="00A37C23" w:rsidTr="00A06540">
        <w:trPr>
          <w:trHeight w:val="300"/>
        </w:trPr>
        <w:tc>
          <w:tcPr>
            <w:tcW w:w="1560" w:type="dxa"/>
            <w:tcBorders>
              <w:top w:val="nil"/>
            </w:tcBorders>
            <w:shd w:val="clear" w:color="auto" w:fill="auto"/>
            <w:noWrap/>
            <w:vAlign w:val="bottom"/>
            <w:hideMark/>
          </w:tcPr>
          <w:p w:rsidR="00A06540" w:rsidRPr="00A37C23" w:rsidRDefault="00A06540" w:rsidP="00A06540">
            <w:pPr>
              <w:ind w:right="-66"/>
              <w:rPr>
                <w:b/>
                <w:sz w:val="22"/>
                <w:szCs w:val="22"/>
              </w:rPr>
            </w:pPr>
            <w:r w:rsidRPr="00A37C23">
              <w:rPr>
                <w:b/>
                <w:sz w:val="22"/>
                <w:szCs w:val="22"/>
              </w:rPr>
              <w:t>Luteolin</w:t>
            </w:r>
          </w:p>
        </w:tc>
        <w:tc>
          <w:tcPr>
            <w:tcW w:w="1297"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276" w:type="dxa"/>
            <w:tcBorders>
              <w:top w:val="nil"/>
            </w:tcBorders>
            <w:vAlign w:val="bottom"/>
          </w:tcPr>
          <w:p w:rsidR="00A06540" w:rsidRPr="00A37C23" w:rsidRDefault="00A06540" w:rsidP="00A06540">
            <w:pPr>
              <w:jc w:val="center"/>
              <w:rPr>
                <w:sz w:val="22"/>
                <w:szCs w:val="22"/>
              </w:rPr>
            </w:pPr>
            <w:r w:rsidRPr="00A37C23">
              <w:rPr>
                <w:sz w:val="22"/>
                <w:szCs w:val="22"/>
              </w:rPr>
              <w:t>-</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701"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61</w:t>
            </w:r>
          </w:p>
        </w:tc>
        <w:tc>
          <w:tcPr>
            <w:tcW w:w="1275"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08</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559"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r>
      <w:tr w:rsidR="00A06540" w:rsidRPr="00A37C23" w:rsidTr="00A06540">
        <w:trPr>
          <w:trHeight w:val="300"/>
        </w:trPr>
        <w:tc>
          <w:tcPr>
            <w:tcW w:w="1560" w:type="dxa"/>
            <w:tcBorders>
              <w:top w:val="nil"/>
            </w:tcBorders>
            <w:shd w:val="clear" w:color="auto" w:fill="auto"/>
            <w:noWrap/>
            <w:vAlign w:val="bottom"/>
            <w:hideMark/>
          </w:tcPr>
          <w:p w:rsidR="00A06540" w:rsidRPr="00A37C23" w:rsidRDefault="00A06540" w:rsidP="00A06540">
            <w:pPr>
              <w:ind w:right="-66"/>
              <w:rPr>
                <w:b/>
                <w:sz w:val="22"/>
                <w:szCs w:val="22"/>
              </w:rPr>
            </w:pPr>
            <w:r w:rsidRPr="00A37C23">
              <w:rPr>
                <w:b/>
                <w:sz w:val="22"/>
                <w:szCs w:val="22"/>
              </w:rPr>
              <w:t>Taksifolin</w:t>
            </w:r>
          </w:p>
        </w:tc>
        <w:tc>
          <w:tcPr>
            <w:tcW w:w="1297"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03</w:t>
            </w:r>
          </w:p>
        </w:tc>
        <w:tc>
          <w:tcPr>
            <w:tcW w:w="1276" w:type="dxa"/>
            <w:tcBorders>
              <w:top w:val="nil"/>
            </w:tcBorders>
            <w:vAlign w:val="bottom"/>
          </w:tcPr>
          <w:p w:rsidR="00A06540" w:rsidRPr="00A37C23" w:rsidRDefault="00A06540" w:rsidP="00A06540">
            <w:pPr>
              <w:jc w:val="center"/>
              <w:rPr>
                <w:sz w:val="22"/>
                <w:szCs w:val="22"/>
              </w:rPr>
            </w:pPr>
            <w:r w:rsidRPr="00A37C23">
              <w:rPr>
                <w:sz w:val="22"/>
                <w:szCs w:val="22"/>
              </w:rPr>
              <w:t>-</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701"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0</w:t>
            </w:r>
            <w:r w:rsidR="002773F1">
              <w:rPr>
                <w:sz w:val="22"/>
                <w:szCs w:val="22"/>
              </w:rPr>
              <w:t>.</w:t>
            </w:r>
            <w:r w:rsidRPr="00A37C23">
              <w:rPr>
                <w:sz w:val="22"/>
                <w:szCs w:val="22"/>
              </w:rPr>
              <w:t>04</w:t>
            </w:r>
          </w:p>
        </w:tc>
        <w:tc>
          <w:tcPr>
            <w:tcW w:w="1275"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418"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c>
          <w:tcPr>
            <w:tcW w:w="1559" w:type="dxa"/>
            <w:tcBorders>
              <w:top w:val="nil"/>
            </w:tcBorders>
            <w:shd w:val="clear" w:color="auto" w:fill="auto"/>
            <w:noWrap/>
            <w:vAlign w:val="bottom"/>
            <w:hideMark/>
          </w:tcPr>
          <w:p w:rsidR="00A06540" w:rsidRPr="00A37C23" w:rsidRDefault="00A06540" w:rsidP="00A06540">
            <w:pPr>
              <w:jc w:val="center"/>
              <w:rPr>
                <w:sz w:val="22"/>
                <w:szCs w:val="22"/>
              </w:rPr>
            </w:pPr>
            <w:r w:rsidRPr="00A37C23">
              <w:rPr>
                <w:sz w:val="22"/>
                <w:szCs w:val="22"/>
              </w:rPr>
              <w:t>-</w:t>
            </w:r>
          </w:p>
        </w:tc>
      </w:tr>
      <w:tr w:rsidR="00A06540" w:rsidRPr="00A37C23" w:rsidTr="00A06540">
        <w:trPr>
          <w:trHeight w:val="300"/>
        </w:trPr>
        <w:tc>
          <w:tcPr>
            <w:tcW w:w="1560" w:type="dxa"/>
            <w:tcBorders>
              <w:top w:val="nil"/>
              <w:bottom w:val="single" w:sz="4" w:space="0" w:color="auto"/>
            </w:tcBorders>
            <w:shd w:val="clear" w:color="auto" w:fill="auto"/>
            <w:noWrap/>
            <w:vAlign w:val="bottom"/>
          </w:tcPr>
          <w:p w:rsidR="00A06540" w:rsidRPr="00A37C23" w:rsidRDefault="00A06540" w:rsidP="00A06540">
            <w:pPr>
              <w:ind w:right="-66"/>
              <w:rPr>
                <w:b/>
                <w:sz w:val="22"/>
                <w:szCs w:val="22"/>
              </w:rPr>
            </w:pPr>
            <w:r w:rsidRPr="00A37C23">
              <w:rPr>
                <w:b/>
                <w:sz w:val="22"/>
                <w:szCs w:val="22"/>
              </w:rPr>
              <w:t>Poncirin</w:t>
            </w:r>
          </w:p>
        </w:tc>
        <w:tc>
          <w:tcPr>
            <w:tcW w:w="1297" w:type="dxa"/>
            <w:tcBorders>
              <w:top w:val="nil"/>
              <w:bottom w:val="single" w:sz="4" w:space="0" w:color="auto"/>
            </w:tcBorders>
            <w:shd w:val="clear" w:color="auto" w:fill="auto"/>
            <w:noWrap/>
            <w:vAlign w:val="bottom"/>
          </w:tcPr>
          <w:p w:rsidR="00A06540" w:rsidRPr="00A37C23" w:rsidRDefault="00A06540" w:rsidP="00A06540">
            <w:pPr>
              <w:jc w:val="center"/>
              <w:rPr>
                <w:sz w:val="22"/>
                <w:szCs w:val="22"/>
              </w:rPr>
            </w:pPr>
            <w:r w:rsidRPr="00A37C23">
              <w:rPr>
                <w:sz w:val="22"/>
                <w:szCs w:val="22"/>
              </w:rPr>
              <w:t>1</w:t>
            </w:r>
            <w:r w:rsidR="002773F1">
              <w:rPr>
                <w:sz w:val="22"/>
                <w:szCs w:val="22"/>
              </w:rPr>
              <w:t>.</w:t>
            </w:r>
            <w:r w:rsidRPr="00A37C23">
              <w:rPr>
                <w:sz w:val="22"/>
                <w:szCs w:val="22"/>
              </w:rPr>
              <w:t>04</w:t>
            </w:r>
          </w:p>
        </w:tc>
        <w:tc>
          <w:tcPr>
            <w:tcW w:w="1276" w:type="dxa"/>
            <w:tcBorders>
              <w:top w:val="nil"/>
              <w:bottom w:val="single" w:sz="4" w:space="0" w:color="auto"/>
            </w:tcBorders>
            <w:vAlign w:val="bottom"/>
          </w:tcPr>
          <w:p w:rsidR="00A06540" w:rsidRPr="00A37C23" w:rsidRDefault="00A06540" w:rsidP="00A06540">
            <w:pPr>
              <w:jc w:val="center"/>
              <w:rPr>
                <w:sz w:val="22"/>
                <w:szCs w:val="22"/>
              </w:rPr>
            </w:pPr>
            <w:r w:rsidRPr="00A37C23">
              <w:rPr>
                <w:sz w:val="22"/>
                <w:szCs w:val="22"/>
              </w:rPr>
              <w:t>1</w:t>
            </w:r>
            <w:r w:rsidR="002773F1">
              <w:rPr>
                <w:sz w:val="22"/>
                <w:szCs w:val="22"/>
              </w:rPr>
              <w:t>.</w:t>
            </w:r>
            <w:r w:rsidRPr="00A37C23">
              <w:rPr>
                <w:sz w:val="22"/>
                <w:szCs w:val="22"/>
              </w:rPr>
              <w:t>26</w:t>
            </w:r>
          </w:p>
        </w:tc>
        <w:tc>
          <w:tcPr>
            <w:tcW w:w="1418" w:type="dxa"/>
            <w:tcBorders>
              <w:top w:val="nil"/>
              <w:bottom w:val="single" w:sz="4" w:space="0" w:color="auto"/>
            </w:tcBorders>
            <w:shd w:val="clear" w:color="auto" w:fill="auto"/>
            <w:noWrap/>
            <w:vAlign w:val="bottom"/>
          </w:tcPr>
          <w:p w:rsidR="00A06540" w:rsidRPr="00A37C23" w:rsidRDefault="00A06540" w:rsidP="00A06540">
            <w:pPr>
              <w:jc w:val="center"/>
              <w:rPr>
                <w:sz w:val="22"/>
                <w:szCs w:val="22"/>
              </w:rPr>
            </w:pPr>
            <w:r w:rsidRPr="00A37C23">
              <w:rPr>
                <w:sz w:val="22"/>
                <w:szCs w:val="22"/>
              </w:rPr>
              <w:t>-</w:t>
            </w:r>
          </w:p>
        </w:tc>
        <w:tc>
          <w:tcPr>
            <w:tcW w:w="1701" w:type="dxa"/>
            <w:tcBorders>
              <w:top w:val="nil"/>
              <w:bottom w:val="single" w:sz="4" w:space="0" w:color="auto"/>
            </w:tcBorders>
            <w:shd w:val="clear" w:color="auto" w:fill="auto"/>
            <w:noWrap/>
            <w:vAlign w:val="bottom"/>
          </w:tcPr>
          <w:p w:rsidR="00A06540" w:rsidRPr="00A37C23" w:rsidRDefault="00A06540" w:rsidP="00A06540">
            <w:pPr>
              <w:jc w:val="center"/>
              <w:rPr>
                <w:sz w:val="22"/>
                <w:szCs w:val="22"/>
              </w:rPr>
            </w:pPr>
            <w:r w:rsidRPr="00A37C23">
              <w:rPr>
                <w:sz w:val="22"/>
                <w:szCs w:val="22"/>
              </w:rPr>
              <w:t>-</w:t>
            </w:r>
          </w:p>
        </w:tc>
        <w:tc>
          <w:tcPr>
            <w:tcW w:w="1275" w:type="dxa"/>
            <w:tcBorders>
              <w:top w:val="nil"/>
              <w:bottom w:val="single" w:sz="4" w:space="0" w:color="auto"/>
            </w:tcBorders>
            <w:shd w:val="clear" w:color="auto" w:fill="auto"/>
            <w:noWrap/>
            <w:vAlign w:val="bottom"/>
          </w:tcPr>
          <w:p w:rsidR="00A06540" w:rsidRPr="00A37C23" w:rsidRDefault="00A06540" w:rsidP="00A06540">
            <w:pPr>
              <w:jc w:val="center"/>
              <w:rPr>
                <w:sz w:val="22"/>
                <w:szCs w:val="22"/>
              </w:rPr>
            </w:pPr>
            <w:r w:rsidRPr="00A37C23">
              <w:rPr>
                <w:sz w:val="22"/>
                <w:szCs w:val="22"/>
              </w:rPr>
              <w:t>-</w:t>
            </w:r>
          </w:p>
        </w:tc>
        <w:tc>
          <w:tcPr>
            <w:tcW w:w="1418" w:type="dxa"/>
            <w:tcBorders>
              <w:top w:val="nil"/>
              <w:bottom w:val="single" w:sz="4" w:space="0" w:color="auto"/>
            </w:tcBorders>
            <w:shd w:val="clear" w:color="auto" w:fill="auto"/>
            <w:noWrap/>
            <w:vAlign w:val="bottom"/>
          </w:tcPr>
          <w:p w:rsidR="00A06540" w:rsidRPr="00A37C23" w:rsidRDefault="00A06540" w:rsidP="00A06540">
            <w:pPr>
              <w:jc w:val="center"/>
              <w:rPr>
                <w:sz w:val="22"/>
                <w:szCs w:val="22"/>
              </w:rPr>
            </w:pPr>
            <w:r w:rsidRPr="00A37C23">
              <w:rPr>
                <w:sz w:val="22"/>
                <w:szCs w:val="22"/>
              </w:rPr>
              <w:t>6</w:t>
            </w:r>
            <w:r w:rsidR="002773F1">
              <w:rPr>
                <w:sz w:val="22"/>
                <w:szCs w:val="22"/>
              </w:rPr>
              <w:t>.</w:t>
            </w:r>
            <w:r w:rsidRPr="00A37C23">
              <w:rPr>
                <w:sz w:val="22"/>
                <w:szCs w:val="22"/>
              </w:rPr>
              <w:t>41</w:t>
            </w:r>
          </w:p>
        </w:tc>
        <w:tc>
          <w:tcPr>
            <w:tcW w:w="1559" w:type="dxa"/>
            <w:tcBorders>
              <w:top w:val="nil"/>
              <w:bottom w:val="single" w:sz="4" w:space="0" w:color="auto"/>
            </w:tcBorders>
            <w:shd w:val="clear" w:color="auto" w:fill="auto"/>
            <w:noWrap/>
            <w:vAlign w:val="bottom"/>
          </w:tcPr>
          <w:p w:rsidR="00A06540" w:rsidRPr="00A37C23" w:rsidRDefault="00A06540" w:rsidP="00A06540">
            <w:pPr>
              <w:jc w:val="center"/>
              <w:rPr>
                <w:sz w:val="22"/>
                <w:szCs w:val="22"/>
              </w:rPr>
            </w:pPr>
          </w:p>
        </w:tc>
      </w:tr>
    </w:tbl>
    <w:p w:rsidR="00A06540" w:rsidRDefault="00A06540" w:rsidP="003D59D1">
      <w:pPr>
        <w:tabs>
          <w:tab w:val="left" w:pos="851"/>
        </w:tabs>
        <w:spacing w:before="120" w:after="60"/>
        <w:jc w:val="both"/>
        <w:rPr>
          <w:sz w:val="22"/>
          <w:szCs w:val="22"/>
        </w:rPr>
      </w:pPr>
    </w:p>
    <w:p w:rsidR="00A06540" w:rsidRDefault="00A06540" w:rsidP="003D59D1">
      <w:pPr>
        <w:tabs>
          <w:tab w:val="left" w:pos="851"/>
        </w:tabs>
        <w:spacing w:before="120" w:after="60"/>
        <w:jc w:val="both"/>
        <w:rPr>
          <w:sz w:val="22"/>
          <w:szCs w:val="22"/>
        </w:rPr>
        <w:sectPr w:rsidR="00A06540" w:rsidSect="00A06540">
          <w:type w:val="continuous"/>
          <w:pgSz w:w="11906" w:h="16838" w:code="9"/>
          <w:pgMar w:top="1418" w:right="1418" w:bottom="1418" w:left="1418" w:header="709" w:footer="709" w:gutter="0"/>
          <w:cols w:space="284"/>
          <w:docGrid w:linePitch="360"/>
        </w:sectPr>
      </w:pPr>
    </w:p>
    <w:p w:rsidR="001F6316" w:rsidRDefault="001F6316" w:rsidP="003D59D1">
      <w:pPr>
        <w:tabs>
          <w:tab w:val="left" w:pos="851"/>
        </w:tabs>
        <w:spacing w:before="120" w:after="60"/>
        <w:jc w:val="both"/>
        <w:rPr>
          <w:sz w:val="22"/>
          <w:szCs w:val="22"/>
        </w:rPr>
      </w:pPr>
    </w:p>
    <w:p w:rsidR="001F6316" w:rsidRDefault="001F6316" w:rsidP="00A37C23"/>
    <w:p w:rsidR="001F6316" w:rsidRDefault="001F6316" w:rsidP="00A37C23">
      <w:pPr>
        <w:sectPr w:rsidR="001F6316" w:rsidSect="00A8159C">
          <w:type w:val="continuous"/>
          <w:pgSz w:w="11906" w:h="16838" w:code="9"/>
          <w:pgMar w:top="1418" w:right="1418" w:bottom="1418" w:left="1418" w:header="709" w:footer="709" w:gutter="0"/>
          <w:cols w:num="2" w:space="284"/>
          <w:docGrid w:linePitch="360"/>
        </w:sectPr>
      </w:pPr>
    </w:p>
    <w:p w:rsidR="00A37C23" w:rsidRPr="00A37C23" w:rsidRDefault="00A37C23" w:rsidP="00A37C23">
      <w:pPr>
        <w:rPr>
          <w:sz w:val="22"/>
          <w:szCs w:val="22"/>
        </w:rPr>
      </w:pPr>
      <w:r w:rsidRPr="00A37C23">
        <w:rPr>
          <w:b/>
          <w:sz w:val="22"/>
          <w:szCs w:val="22"/>
        </w:rPr>
        <w:lastRenderedPageBreak/>
        <w:t>Tablo 2.</w:t>
      </w:r>
      <w:r w:rsidRPr="00A37C23">
        <w:rPr>
          <w:sz w:val="22"/>
          <w:szCs w:val="22"/>
        </w:rPr>
        <w:t xml:space="preserve"> Turunçgiller ve MeS ile İlgili Hayvan Araştırmaları</w:t>
      </w:r>
    </w:p>
    <w:p w:rsidR="00A37C23" w:rsidRPr="00A37C23" w:rsidRDefault="00A37C23" w:rsidP="00A37C23">
      <w:pPr>
        <w:spacing w:before="120" w:after="60"/>
        <w:rPr>
          <w:sz w:val="20"/>
          <w:szCs w:val="20"/>
        </w:rPr>
      </w:pPr>
      <w:r w:rsidRPr="00A37C23">
        <w:rPr>
          <w:b/>
          <w:sz w:val="20"/>
          <w:szCs w:val="20"/>
        </w:rPr>
        <w:t>Table 2.</w:t>
      </w:r>
      <w:r w:rsidRPr="00A37C23">
        <w:rPr>
          <w:sz w:val="20"/>
          <w:szCs w:val="20"/>
        </w:rPr>
        <w:t xml:space="preserve"> Animal Studies on Citrus Fruits and MeS</w:t>
      </w:r>
    </w:p>
    <w:tbl>
      <w:tblPr>
        <w:tblStyle w:val="TabloKlavuzu1"/>
        <w:tblW w:w="12299" w:type="dxa"/>
        <w:tblBorders>
          <w:left w:val="none" w:sz="0" w:space="0" w:color="auto"/>
          <w:right w:val="none" w:sz="0" w:space="0" w:color="auto"/>
          <w:insideV w:val="none" w:sz="0" w:space="0" w:color="auto"/>
        </w:tblBorders>
        <w:tblLook w:val="04A0" w:firstRow="1" w:lastRow="0" w:firstColumn="1" w:lastColumn="0" w:noHBand="0" w:noVBand="1"/>
      </w:tblPr>
      <w:tblGrid>
        <w:gridCol w:w="3085"/>
        <w:gridCol w:w="2254"/>
        <w:gridCol w:w="5718"/>
        <w:gridCol w:w="1242"/>
      </w:tblGrid>
      <w:tr w:rsidR="00A37C23" w:rsidRPr="00A37C23" w:rsidTr="00A37C23">
        <w:trPr>
          <w:trHeight w:val="390"/>
        </w:trPr>
        <w:tc>
          <w:tcPr>
            <w:tcW w:w="3085"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Araştırma planı</w:t>
            </w:r>
          </w:p>
        </w:tc>
        <w:tc>
          <w:tcPr>
            <w:tcW w:w="2254" w:type="dxa"/>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Denekler</w:t>
            </w:r>
          </w:p>
        </w:tc>
        <w:tc>
          <w:tcPr>
            <w:tcW w:w="5718"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Sonuç</w:t>
            </w:r>
          </w:p>
        </w:tc>
        <w:tc>
          <w:tcPr>
            <w:tcW w:w="1242"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Kaynak</w:t>
            </w:r>
          </w:p>
        </w:tc>
      </w:tr>
      <w:tr w:rsidR="00A37C23" w:rsidRPr="00A37C23" w:rsidTr="00A37C23">
        <w:trPr>
          <w:trHeight w:val="193"/>
        </w:trPr>
        <w:tc>
          <w:tcPr>
            <w:tcW w:w="3085"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 xml:space="preserve">12 hafta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-düşük yağlı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-yüksek yağlı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 yüksek yağlı limon polifenolü (%</w:t>
            </w:r>
            <w:proofErr w:type="gramStart"/>
            <w:r w:rsidRPr="00A37C23">
              <w:rPr>
                <w:rFonts w:ascii="Times New Roman" w:hAnsi="Times New Roman"/>
                <w:sz w:val="20"/>
                <w:szCs w:val="20"/>
              </w:rPr>
              <w:t>0.5</w:t>
            </w:r>
            <w:proofErr w:type="gramEnd"/>
            <w:r w:rsidRPr="00A37C23">
              <w:rPr>
                <w:rFonts w:ascii="Times New Roman" w:hAnsi="Times New Roman"/>
                <w:sz w:val="20"/>
                <w:szCs w:val="20"/>
              </w:rPr>
              <w:t xml:space="preserve">) eklenen diyet </w:t>
            </w:r>
          </w:p>
          <w:p w:rsidR="00A37C23" w:rsidRPr="00A37C23" w:rsidRDefault="00A37C23" w:rsidP="00A37C23">
            <w:pPr>
              <w:rPr>
                <w:rFonts w:ascii="Times New Roman" w:hAnsi="Times New Roman"/>
                <w:sz w:val="20"/>
                <w:szCs w:val="20"/>
              </w:rPr>
            </w:pPr>
          </w:p>
        </w:tc>
        <w:tc>
          <w:tcPr>
            <w:tcW w:w="2254" w:type="dxa"/>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C57BL/6J erkek fare</w:t>
            </w:r>
          </w:p>
          <w:p w:rsidR="00A37C23" w:rsidRPr="00A37C23" w:rsidRDefault="00A37C23" w:rsidP="00A37C23">
            <w:pPr>
              <w:rPr>
                <w:rFonts w:ascii="Times New Roman" w:hAnsi="Times New Roman"/>
                <w:sz w:val="20"/>
                <w:szCs w:val="20"/>
              </w:rPr>
            </w:pPr>
          </w:p>
        </w:tc>
        <w:tc>
          <w:tcPr>
            <w:tcW w:w="5718"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Limon polifenolü eklenen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-Ağırlık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 xml:space="preserve">-Hiperlipidemi, hiperglisemi ve insülin direncini baskılama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-PPAR-α seviyesi↑</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-Karaciğer ve beyaz adipoz dokuda asil CoA oksidaz  ↑</w:t>
            </w:r>
          </w:p>
        </w:tc>
        <w:tc>
          <w:tcPr>
            <w:tcW w:w="1242"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(Fukuchi ve diğerleri, 2008)</w:t>
            </w:r>
          </w:p>
        </w:tc>
      </w:tr>
      <w:tr w:rsidR="00A37C23" w:rsidRPr="00A37C23" w:rsidTr="00A37C23">
        <w:trPr>
          <w:trHeight w:val="182"/>
        </w:trPr>
        <w:tc>
          <w:tcPr>
            <w:tcW w:w="3085" w:type="dxa"/>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 xml:space="preserve">11 hafta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-normal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-naringenin(%3) eklenen diyet</w:t>
            </w:r>
          </w:p>
          <w:p w:rsidR="00A37C23" w:rsidRPr="00A37C23" w:rsidRDefault="00A37C23" w:rsidP="00A37C23">
            <w:pPr>
              <w:rPr>
                <w:rFonts w:ascii="Times New Roman" w:hAnsi="Times New Roman"/>
                <w:sz w:val="20"/>
                <w:szCs w:val="20"/>
              </w:rPr>
            </w:pPr>
          </w:p>
        </w:tc>
        <w:tc>
          <w:tcPr>
            <w:tcW w:w="2254" w:type="dxa"/>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Overektomize dişi fare</w:t>
            </w:r>
          </w:p>
          <w:p w:rsidR="00A37C23" w:rsidRPr="00A37C23" w:rsidRDefault="00A37C23" w:rsidP="00A37C23">
            <w:pPr>
              <w:rPr>
                <w:rFonts w:ascii="Times New Roman" w:hAnsi="Times New Roman"/>
                <w:sz w:val="20"/>
                <w:szCs w:val="20"/>
              </w:rPr>
            </w:pPr>
          </w:p>
        </w:tc>
        <w:tc>
          <w:tcPr>
            <w:tcW w:w="5718"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Naringenin eklenen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-Tokluk glukoz seviyesi ve insülin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-İntra-abdominal ve subkutan yağlanmada %50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-Lipogenesiz ve glukoneogenez ↓</w:t>
            </w:r>
          </w:p>
          <w:p w:rsidR="00A37C23" w:rsidRPr="00A37C23" w:rsidRDefault="00A37C23" w:rsidP="00A37C23">
            <w:pPr>
              <w:tabs>
                <w:tab w:val="left" w:pos="4710"/>
              </w:tabs>
              <w:rPr>
                <w:rFonts w:ascii="Times New Roman" w:hAnsi="Times New Roman"/>
                <w:sz w:val="20"/>
                <w:szCs w:val="20"/>
              </w:rPr>
            </w:pPr>
            <w:r w:rsidRPr="00A37C23">
              <w:rPr>
                <w:rFonts w:ascii="Times New Roman" w:hAnsi="Times New Roman"/>
                <w:sz w:val="20"/>
                <w:szCs w:val="20"/>
              </w:rPr>
              <w:t>-Hepatik steatozda iyileşme</w:t>
            </w:r>
            <w:r w:rsidRPr="00A37C23">
              <w:rPr>
                <w:rFonts w:ascii="Times New Roman" w:hAnsi="Times New Roman"/>
                <w:sz w:val="20"/>
                <w:szCs w:val="20"/>
              </w:rPr>
              <w:tab/>
            </w:r>
          </w:p>
          <w:p w:rsidR="00A37C23" w:rsidRPr="00A37C23" w:rsidRDefault="00A37C23" w:rsidP="00A37C23">
            <w:pPr>
              <w:rPr>
                <w:rFonts w:ascii="Times New Roman" w:hAnsi="Times New Roman"/>
                <w:sz w:val="20"/>
                <w:szCs w:val="20"/>
              </w:rPr>
            </w:pPr>
          </w:p>
        </w:tc>
        <w:tc>
          <w:tcPr>
            <w:tcW w:w="1242"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(Ke ve diğerleri, 2015)</w:t>
            </w:r>
          </w:p>
        </w:tc>
      </w:tr>
      <w:tr w:rsidR="00A37C23" w:rsidRPr="00A37C23" w:rsidTr="00A37C23">
        <w:trPr>
          <w:trHeight w:val="193"/>
        </w:trPr>
        <w:tc>
          <w:tcPr>
            <w:tcW w:w="3085" w:type="dxa"/>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 xml:space="preserve">12 hafta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-yüksek yağlı-yüksek kolesterollü (%3) naringenin eklenmiş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-düşük yağlı yüksek kolesterollü (%3) naringenin eklenmiş diyet</w:t>
            </w:r>
          </w:p>
        </w:tc>
        <w:tc>
          <w:tcPr>
            <w:tcW w:w="2254" w:type="dxa"/>
          </w:tcPr>
          <w:p w:rsidR="00A37C23" w:rsidRPr="00A37C23" w:rsidRDefault="00A37C23" w:rsidP="00A37C23">
            <w:pPr>
              <w:rPr>
                <w:rFonts w:ascii="Times New Roman" w:hAnsi="Times New Roman"/>
                <w:sz w:val="20"/>
                <w:szCs w:val="20"/>
              </w:rPr>
            </w:pPr>
            <w:r w:rsidRPr="00A37C23">
              <w:rPr>
                <w:rFonts w:ascii="Times New Roman" w:hAnsi="Times New Roman"/>
                <w:i/>
                <w:sz w:val="20"/>
                <w:szCs w:val="20"/>
              </w:rPr>
              <w:t>Ldlr</w:t>
            </w:r>
            <w:r w:rsidRPr="00A37C23">
              <w:rPr>
                <w:rFonts w:ascii="Times New Roman" w:hAnsi="Times New Roman"/>
                <w:i/>
                <w:sz w:val="20"/>
                <w:szCs w:val="20"/>
                <w:vertAlign w:val="superscript"/>
              </w:rPr>
              <w:t>-/-</w:t>
            </w:r>
            <w:r w:rsidRPr="00A37C23">
              <w:rPr>
                <w:rFonts w:ascii="Times New Roman" w:hAnsi="Times New Roman"/>
                <w:sz w:val="20"/>
                <w:szCs w:val="20"/>
              </w:rPr>
              <w:t xml:space="preserve"> erkek fare</w:t>
            </w:r>
          </w:p>
          <w:p w:rsidR="00A37C23" w:rsidRPr="00A37C23" w:rsidRDefault="00A37C23" w:rsidP="00A37C23">
            <w:pPr>
              <w:rPr>
                <w:rFonts w:ascii="Times New Roman" w:hAnsi="Times New Roman"/>
                <w:sz w:val="20"/>
                <w:szCs w:val="20"/>
              </w:rPr>
            </w:pPr>
          </w:p>
        </w:tc>
        <w:tc>
          <w:tcPr>
            <w:tcW w:w="5718"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Naringenin:</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Hepatik lipogenezisi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-Yağ asidi oksidasyonunu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-TNF-α ve IL-1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 xml:space="preserve">-Hepatik steatozda iyileşme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-Apo B100 ↓</w:t>
            </w:r>
          </w:p>
          <w:p w:rsidR="00A37C23" w:rsidRPr="00A37C23" w:rsidRDefault="00A37C23" w:rsidP="00A37C23">
            <w:pPr>
              <w:rPr>
                <w:rFonts w:ascii="Times New Roman" w:hAnsi="Times New Roman"/>
                <w:sz w:val="20"/>
                <w:szCs w:val="20"/>
              </w:rPr>
            </w:pPr>
          </w:p>
        </w:tc>
        <w:tc>
          <w:tcPr>
            <w:tcW w:w="1242"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(Assini J. M. ve diğerleri, 2013)</w:t>
            </w:r>
          </w:p>
        </w:tc>
      </w:tr>
      <w:tr w:rsidR="00A37C23" w:rsidRPr="00A37C23" w:rsidTr="00A37C23">
        <w:trPr>
          <w:trHeight w:val="193"/>
        </w:trPr>
        <w:tc>
          <w:tcPr>
            <w:tcW w:w="3085" w:type="dxa"/>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 xml:space="preserve">2 hafta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-normal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-0.2g/kg hesperidin eklenen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 xml:space="preserve">-0.2g/kg naringin eklenen diyet </w:t>
            </w:r>
          </w:p>
        </w:tc>
        <w:tc>
          <w:tcPr>
            <w:tcW w:w="2254" w:type="dxa"/>
          </w:tcPr>
          <w:p w:rsidR="00A37C23" w:rsidRPr="00A37C23" w:rsidRDefault="00A37C23" w:rsidP="00A37C23">
            <w:pPr>
              <w:rPr>
                <w:rFonts w:ascii="Times New Roman" w:hAnsi="Times New Roman"/>
                <w:sz w:val="20"/>
                <w:szCs w:val="20"/>
              </w:rPr>
            </w:pPr>
            <w:proofErr w:type="gramStart"/>
            <w:r w:rsidRPr="00A37C23">
              <w:rPr>
                <w:rFonts w:ascii="Times New Roman" w:hAnsi="Times New Roman"/>
                <w:sz w:val="20"/>
                <w:szCs w:val="20"/>
              </w:rPr>
              <w:t>tip</w:t>
            </w:r>
            <w:proofErr w:type="gramEnd"/>
            <w:r w:rsidRPr="00A37C23">
              <w:rPr>
                <w:rFonts w:ascii="Times New Roman" w:hAnsi="Times New Roman"/>
                <w:sz w:val="20"/>
                <w:szCs w:val="20"/>
              </w:rPr>
              <w:t xml:space="preserve"> 2 diyabetik erkek fare</w:t>
            </w:r>
          </w:p>
          <w:p w:rsidR="00A37C23" w:rsidRPr="00A37C23" w:rsidRDefault="00A37C23" w:rsidP="00A37C23">
            <w:pPr>
              <w:rPr>
                <w:rFonts w:ascii="Times New Roman" w:hAnsi="Times New Roman"/>
                <w:sz w:val="20"/>
                <w:szCs w:val="20"/>
              </w:rPr>
            </w:pPr>
          </w:p>
        </w:tc>
        <w:tc>
          <w:tcPr>
            <w:tcW w:w="5718"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Naringin ve hesperidin:</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-Plazma glukoz seviyesinde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-Bağırsaktan glukoz absorbsiyonunu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-İnsülin salınımı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-Adipoz dokuda GLUT-4 ekspresyonunu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 xml:space="preserve">-HMG-CoA redüktaz aktivitesinde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 xml:space="preserve">-Plazma kolesterol seviyeleri ↓ </w:t>
            </w:r>
          </w:p>
          <w:p w:rsidR="00A37C23" w:rsidRPr="00A37C23" w:rsidRDefault="00A37C23" w:rsidP="00A37C23">
            <w:pPr>
              <w:rPr>
                <w:rFonts w:ascii="Times New Roman" w:hAnsi="Times New Roman"/>
                <w:sz w:val="20"/>
                <w:szCs w:val="20"/>
              </w:rPr>
            </w:pPr>
          </w:p>
        </w:tc>
        <w:tc>
          <w:tcPr>
            <w:tcW w:w="1242" w:type="dxa"/>
            <w:hideMark/>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(Jung, Lee, Park, Kang &amp; Choi, 2006)</w:t>
            </w:r>
          </w:p>
        </w:tc>
      </w:tr>
      <w:tr w:rsidR="00A37C23" w:rsidRPr="00A37C23" w:rsidTr="00A37C23">
        <w:trPr>
          <w:trHeight w:val="193"/>
        </w:trPr>
        <w:tc>
          <w:tcPr>
            <w:tcW w:w="3085" w:type="dxa"/>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4 hafta</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-normal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-yüksek kolesterollü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-%0.08 hesperidin eklenmiş yüksek kolesterollü diyet</w:t>
            </w:r>
          </w:p>
        </w:tc>
        <w:tc>
          <w:tcPr>
            <w:tcW w:w="2254" w:type="dxa"/>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Swiss albino rat</w:t>
            </w:r>
          </w:p>
        </w:tc>
        <w:tc>
          <w:tcPr>
            <w:tcW w:w="5718" w:type="dxa"/>
          </w:tcPr>
          <w:p w:rsidR="00A37C23" w:rsidRPr="00A37C23" w:rsidRDefault="00A37C23" w:rsidP="00A37C23">
            <w:pPr>
              <w:rPr>
                <w:rFonts w:ascii="Times New Roman" w:hAnsi="Times New Roman"/>
                <w:sz w:val="20"/>
                <w:szCs w:val="20"/>
              </w:rPr>
            </w:pPr>
            <w:r w:rsidRPr="00A37C23">
              <w:rPr>
                <w:rFonts w:ascii="Times New Roman" w:hAnsi="Times New Roman"/>
                <w:sz w:val="20"/>
                <w:szCs w:val="20"/>
              </w:rPr>
              <w:t>Hesperidin eklenen diyet:</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-Total kolesterol (%34), LDL (%52)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-HDL (%22) ve trigliserit ↑</w:t>
            </w:r>
          </w:p>
          <w:p w:rsidR="00A37C23" w:rsidRPr="00A37C23" w:rsidRDefault="00A37C23" w:rsidP="00A37C23">
            <w:pPr>
              <w:rPr>
                <w:rFonts w:ascii="Times New Roman" w:hAnsi="Times New Roman"/>
                <w:sz w:val="20"/>
                <w:szCs w:val="20"/>
              </w:rPr>
            </w:pPr>
            <w:r w:rsidRPr="00A37C23">
              <w:rPr>
                <w:rFonts w:ascii="Times New Roman" w:hAnsi="Times New Roman"/>
                <w:sz w:val="20"/>
                <w:szCs w:val="20"/>
              </w:rPr>
              <w:t>-SOD, CAT, GSH-Px ve GST ↑</w:t>
            </w:r>
          </w:p>
        </w:tc>
        <w:tc>
          <w:tcPr>
            <w:tcW w:w="1242" w:type="dxa"/>
          </w:tcPr>
          <w:p w:rsidR="00A37C23" w:rsidRPr="00A37C23" w:rsidRDefault="00A37C23" w:rsidP="00A37C23">
            <w:pPr>
              <w:tabs>
                <w:tab w:val="left" w:pos="851"/>
              </w:tabs>
              <w:jc w:val="both"/>
              <w:rPr>
                <w:rFonts w:ascii="Times New Roman" w:hAnsi="Times New Roman"/>
                <w:b/>
                <w:sz w:val="20"/>
                <w:szCs w:val="20"/>
              </w:rPr>
            </w:pPr>
            <w:r w:rsidRPr="00A37C23">
              <w:rPr>
                <w:rFonts w:ascii="Times New Roman" w:hAnsi="Times New Roman"/>
                <w:sz w:val="20"/>
                <w:szCs w:val="20"/>
              </w:rPr>
              <w:t>(El-Shafey &amp; Abd-Ellah, 2014)</w:t>
            </w:r>
          </w:p>
          <w:p w:rsidR="00A37C23" w:rsidRPr="00A37C23" w:rsidRDefault="00A37C23" w:rsidP="00A37C23">
            <w:pPr>
              <w:rPr>
                <w:rFonts w:ascii="Times New Roman" w:hAnsi="Times New Roman"/>
                <w:sz w:val="20"/>
                <w:szCs w:val="20"/>
              </w:rPr>
            </w:pPr>
          </w:p>
        </w:tc>
      </w:tr>
    </w:tbl>
    <w:p w:rsidR="00A37C23" w:rsidRPr="00A37C23" w:rsidRDefault="00A37C23" w:rsidP="00A37C23">
      <w:pPr>
        <w:tabs>
          <w:tab w:val="left" w:pos="851"/>
          <w:tab w:val="left" w:pos="2127"/>
        </w:tabs>
        <w:jc w:val="both"/>
        <w:rPr>
          <w:sz w:val="18"/>
          <w:szCs w:val="18"/>
        </w:rPr>
      </w:pPr>
      <w:r w:rsidRPr="00A37C23">
        <w:rPr>
          <w:sz w:val="18"/>
          <w:szCs w:val="18"/>
        </w:rPr>
        <w:t xml:space="preserve">   ↑: artış, ↓: azalış</w:t>
      </w:r>
    </w:p>
    <w:p w:rsidR="00F54466" w:rsidRDefault="00F54466" w:rsidP="00A37C23">
      <w:pPr>
        <w:rPr>
          <w:b/>
          <w:sz w:val="22"/>
          <w:szCs w:val="22"/>
        </w:rPr>
      </w:pPr>
      <w:r>
        <w:rPr>
          <w:b/>
          <w:sz w:val="22"/>
          <w:szCs w:val="22"/>
        </w:rPr>
        <w:br w:type="page"/>
      </w:r>
    </w:p>
    <w:p w:rsidR="00A37C23" w:rsidRPr="00A37C23" w:rsidRDefault="00A37C23" w:rsidP="00A37C23">
      <w:pPr>
        <w:rPr>
          <w:sz w:val="22"/>
          <w:szCs w:val="22"/>
        </w:rPr>
      </w:pPr>
      <w:r w:rsidRPr="00A37C23">
        <w:rPr>
          <w:b/>
          <w:sz w:val="22"/>
          <w:szCs w:val="22"/>
        </w:rPr>
        <w:lastRenderedPageBreak/>
        <w:t>Tablo 3.</w:t>
      </w:r>
      <w:r w:rsidRPr="00A37C23">
        <w:rPr>
          <w:sz w:val="22"/>
          <w:szCs w:val="22"/>
        </w:rPr>
        <w:t xml:space="preserve"> Turunçgiller ve MeS ile İlgili İnsan Araştırmaları</w:t>
      </w:r>
    </w:p>
    <w:p w:rsidR="00A37C23" w:rsidRPr="00A37C23" w:rsidRDefault="00A37C23" w:rsidP="00A37C23">
      <w:pPr>
        <w:spacing w:before="120" w:after="60"/>
        <w:rPr>
          <w:sz w:val="20"/>
          <w:szCs w:val="20"/>
        </w:rPr>
      </w:pPr>
      <w:r w:rsidRPr="00A37C23">
        <w:rPr>
          <w:b/>
          <w:sz w:val="20"/>
          <w:szCs w:val="20"/>
        </w:rPr>
        <w:t>Table 3.</w:t>
      </w:r>
      <w:r w:rsidRPr="00A37C23">
        <w:rPr>
          <w:sz w:val="20"/>
          <w:szCs w:val="20"/>
        </w:rPr>
        <w:t xml:space="preserve"> Human Studies on Citrus Fruites and MeS</w:t>
      </w:r>
    </w:p>
    <w:tbl>
      <w:tblPr>
        <w:tblStyle w:val="TabloKlavuzu"/>
        <w:tblpPr w:leftFromText="180" w:rightFromText="180" w:vertAnchor="text" w:horzAnchor="margin" w:tblpXSpec="center" w:tblpY="178"/>
        <w:tblW w:w="1630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4536"/>
        <w:gridCol w:w="2977"/>
        <w:gridCol w:w="4536"/>
        <w:gridCol w:w="2268"/>
      </w:tblGrid>
      <w:tr w:rsidR="00A37C23" w:rsidRPr="00A37C23" w:rsidTr="002773F1">
        <w:trPr>
          <w:trHeight w:val="287"/>
        </w:trPr>
        <w:tc>
          <w:tcPr>
            <w:tcW w:w="1985" w:type="dxa"/>
            <w:hideMark/>
          </w:tcPr>
          <w:p w:rsidR="00A37C23" w:rsidRPr="00A37C23" w:rsidRDefault="00A37C23" w:rsidP="00A37C23">
            <w:pPr>
              <w:rPr>
                <w:sz w:val="18"/>
                <w:szCs w:val="18"/>
              </w:rPr>
            </w:pPr>
          </w:p>
        </w:tc>
        <w:tc>
          <w:tcPr>
            <w:tcW w:w="4536" w:type="dxa"/>
            <w:hideMark/>
          </w:tcPr>
          <w:p w:rsidR="00A37C23" w:rsidRPr="00A37C23" w:rsidRDefault="00A37C23" w:rsidP="00A37C23">
            <w:pPr>
              <w:rPr>
                <w:sz w:val="18"/>
                <w:szCs w:val="18"/>
              </w:rPr>
            </w:pPr>
            <w:r w:rsidRPr="00A37C23">
              <w:rPr>
                <w:sz w:val="18"/>
                <w:szCs w:val="18"/>
              </w:rPr>
              <w:t>Araştırma Planı</w:t>
            </w:r>
          </w:p>
        </w:tc>
        <w:tc>
          <w:tcPr>
            <w:tcW w:w="2977" w:type="dxa"/>
            <w:hideMark/>
          </w:tcPr>
          <w:p w:rsidR="00A37C23" w:rsidRPr="00A37C23" w:rsidRDefault="00A37C23" w:rsidP="00A37C23">
            <w:pPr>
              <w:rPr>
                <w:sz w:val="18"/>
                <w:szCs w:val="18"/>
              </w:rPr>
            </w:pPr>
            <w:r w:rsidRPr="00A37C23">
              <w:rPr>
                <w:sz w:val="18"/>
                <w:szCs w:val="18"/>
              </w:rPr>
              <w:t>Denekler</w:t>
            </w:r>
          </w:p>
        </w:tc>
        <w:tc>
          <w:tcPr>
            <w:tcW w:w="4536" w:type="dxa"/>
            <w:hideMark/>
          </w:tcPr>
          <w:p w:rsidR="00A37C23" w:rsidRPr="00A37C23" w:rsidRDefault="00A37C23" w:rsidP="00A37C23">
            <w:pPr>
              <w:rPr>
                <w:sz w:val="18"/>
                <w:szCs w:val="18"/>
              </w:rPr>
            </w:pPr>
            <w:r w:rsidRPr="00A37C23">
              <w:rPr>
                <w:sz w:val="18"/>
                <w:szCs w:val="18"/>
              </w:rPr>
              <w:t>Sonuç</w:t>
            </w:r>
          </w:p>
        </w:tc>
        <w:tc>
          <w:tcPr>
            <w:tcW w:w="2268" w:type="dxa"/>
            <w:hideMark/>
          </w:tcPr>
          <w:p w:rsidR="00A37C23" w:rsidRPr="00A37C23" w:rsidRDefault="00A37C23" w:rsidP="00A37C23">
            <w:pPr>
              <w:ind w:right="317"/>
              <w:rPr>
                <w:sz w:val="18"/>
                <w:szCs w:val="18"/>
              </w:rPr>
            </w:pPr>
            <w:r w:rsidRPr="00A37C23">
              <w:rPr>
                <w:sz w:val="18"/>
                <w:szCs w:val="18"/>
              </w:rPr>
              <w:t>Kaynak</w:t>
            </w:r>
          </w:p>
        </w:tc>
      </w:tr>
      <w:tr w:rsidR="00A37C23" w:rsidRPr="00A37C23" w:rsidTr="002773F1">
        <w:trPr>
          <w:trHeight w:val="287"/>
        </w:trPr>
        <w:tc>
          <w:tcPr>
            <w:tcW w:w="1985" w:type="dxa"/>
          </w:tcPr>
          <w:p w:rsidR="00A37C23" w:rsidRPr="00A37C23" w:rsidRDefault="00A37C23" w:rsidP="00A37C23">
            <w:pPr>
              <w:rPr>
                <w:sz w:val="16"/>
                <w:szCs w:val="16"/>
              </w:rPr>
            </w:pPr>
            <w:r w:rsidRPr="00A37C23">
              <w:rPr>
                <w:sz w:val="16"/>
                <w:szCs w:val="16"/>
              </w:rPr>
              <w:t>Portakal suyu</w:t>
            </w:r>
          </w:p>
          <w:p w:rsidR="00A37C23" w:rsidRPr="00A37C23" w:rsidRDefault="00A37C23" w:rsidP="00A37C23">
            <w:pPr>
              <w:rPr>
                <w:sz w:val="16"/>
                <w:szCs w:val="16"/>
              </w:rPr>
            </w:pPr>
          </w:p>
        </w:tc>
        <w:tc>
          <w:tcPr>
            <w:tcW w:w="4536" w:type="dxa"/>
            <w:hideMark/>
          </w:tcPr>
          <w:p w:rsidR="00A37C23" w:rsidRPr="00A37C23" w:rsidRDefault="00A37C23" w:rsidP="00A37C23">
            <w:pPr>
              <w:rPr>
                <w:sz w:val="16"/>
                <w:szCs w:val="16"/>
              </w:rPr>
            </w:pPr>
            <w:r w:rsidRPr="00A37C23">
              <w:rPr>
                <w:sz w:val="16"/>
                <w:szCs w:val="16"/>
              </w:rPr>
              <w:t>ABD Ulusal Sağlık ve Beslenme Araştırması 2003-2006</w:t>
            </w:r>
          </w:p>
          <w:p w:rsidR="00A37C23" w:rsidRPr="00A37C23" w:rsidRDefault="00A37C23" w:rsidP="00A37C23">
            <w:pPr>
              <w:rPr>
                <w:sz w:val="16"/>
                <w:szCs w:val="16"/>
              </w:rPr>
            </w:pPr>
            <w:proofErr w:type="gramStart"/>
            <w:r w:rsidRPr="00A37C23">
              <w:rPr>
                <w:sz w:val="16"/>
                <w:szCs w:val="16"/>
              </w:rPr>
              <w:t>ortalama</w:t>
            </w:r>
            <w:proofErr w:type="gramEnd"/>
            <w:r w:rsidRPr="00A37C23">
              <w:rPr>
                <w:sz w:val="16"/>
                <w:szCs w:val="16"/>
              </w:rPr>
              <w:t xml:space="preserve"> 210 mL/gün portakal suyu</w:t>
            </w:r>
          </w:p>
        </w:tc>
        <w:tc>
          <w:tcPr>
            <w:tcW w:w="2977" w:type="dxa"/>
            <w:hideMark/>
          </w:tcPr>
          <w:p w:rsidR="00A37C23" w:rsidRPr="00A37C23" w:rsidRDefault="00A37C23" w:rsidP="00A37C23">
            <w:pPr>
              <w:rPr>
                <w:sz w:val="16"/>
                <w:szCs w:val="16"/>
              </w:rPr>
            </w:pPr>
            <w:r w:rsidRPr="00A37C23">
              <w:rPr>
                <w:sz w:val="16"/>
                <w:szCs w:val="16"/>
              </w:rPr>
              <w:t>8861 birey (&gt;19 yaş)</w:t>
            </w:r>
          </w:p>
        </w:tc>
        <w:tc>
          <w:tcPr>
            <w:tcW w:w="4536" w:type="dxa"/>
            <w:hideMark/>
          </w:tcPr>
          <w:p w:rsidR="00A37C23" w:rsidRPr="00A37C23" w:rsidRDefault="00A37C23" w:rsidP="00A37C23">
            <w:pPr>
              <w:rPr>
                <w:sz w:val="16"/>
                <w:szCs w:val="16"/>
              </w:rPr>
            </w:pPr>
            <w:r w:rsidRPr="00A37C23">
              <w:rPr>
                <w:sz w:val="16"/>
                <w:szCs w:val="16"/>
              </w:rPr>
              <w:t>%100 portakal suyu tüketimi</w:t>
            </w:r>
          </w:p>
          <w:p w:rsidR="00A37C23" w:rsidRPr="00A37C23" w:rsidRDefault="00A37C23" w:rsidP="002773F1">
            <w:pPr>
              <w:ind w:right="-69"/>
              <w:rPr>
                <w:sz w:val="16"/>
                <w:szCs w:val="16"/>
              </w:rPr>
            </w:pPr>
            <w:r w:rsidRPr="00A37C23">
              <w:rPr>
                <w:sz w:val="16"/>
                <w:szCs w:val="16"/>
              </w:rPr>
              <w:t>A vitamini, C vitamini, folat, potasyum ve magnezyum düzeyleri ↑</w:t>
            </w:r>
          </w:p>
          <w:p w:rsidR="00A37C23" w:rsidRPr="00A37C23" w:rsidRDefault="00A37C23" w:rsidP="00A37C23">
            <w:pPr>
              <w:rPr>
                <w:sz w:val="16"/>
                <w:szCs w:val="16"/>
              </w:rPr>
            </w:pPr>
            <w:r w:rsidRPr="00A37C23">
              <w:rPr>
                <w:sz w:val="16"/>
                <w:szCs w:val="16"/>
              </w:rPr>
              <w:t>Obezite riski %21 ↓</w:t>
            </w:r>
          </w:p>
        </w:tc>
        <w:tc>
          <w:tcPr>
            <w:tcW w:w="2268" w:type="dxa"/>
            <w:hideMark/>
          </w:tcPr>
          <w:p w:rsidR="00A37C23" w:rsidRPr="00A37C23" w:rsidRDefault="00A37C23" w:rsidP="00A37C23">
            <w:pPr>
              <w:rPr>
                <w:sz w:val="16"/>
                <w:szCs w:val="16"/>
              </w:rPr>
            </w:pPr>
            <w:r w:rsidRPr="00A37C23">
              <w:rPr>
                <w:sz w:val="16"/>
                <w:szCs w:val="16"/>
              </w:rPr>
              <w:t>(O’Neil, Nicklas, Rampersaud &amp; Fulgoni, 2012)</w:t>
            </w:r>
          </w:p>
        </w:tc>
      </w:tr>
      <w:tr w:rsidR="00A37C23" w:rsidRPr="00A37C23" w:rsidTr="002773F1">
        <w:trPr>
          <w:trHeight w:val="271"/>
        </w:trPr>
        <w:tc>
          <w:tcPr>
            <w:tcW w:w="1985" w:type="dxa"/>
            <w:hideMark/>
          </w:tcPr>
          <w:p w:rsidR="00A37C23" w:rsidRPr="00A37C23" w:rsidRDefault="00A37C23" w:rsidP="00A37C23">
            <w:pPr>
              <w:ind w:right="-110"/>
              <w:rPr>
                <w:sz w:val="16"/>
                <w:szCs w:val="16"/>
              </w:rPr>
            </w:pPr>
            <w:r w:rsidRPr="00A37C23">
              <w:rPr>
                <w:sz w:val="16"/>
                <w:szCs w:val="16"/>
              </w:rPr>
              <w:t>Portakal suyu</w:t>
            </w:r>
          </w:p>
          <w:p w:rsidR="00A37C23" w:rsidRPr="00A37C23" w:rsidRDefault="00A37C23" w:rsidP="00A37C23">
            <w:pPr>
              <w:ind w:right="-110"/>
              <w:rPr>
                <w:sz w:val="16"/>
                <w:szCs w:val="16"/>
              </w:rPr>
            </w:pPr>
          </w:p>
        </w:tc>
        <w:tc>
          <w:tcPr>
            <w:tcW w:w="4536" w:type="dxa"/>
          </w:tcPr>
          <w:p w:rsidR="00A37C23" w:rsidRPr="00A37C23" w:rsidRDefault="00A37C23" w:rsidP="00A37C23">
            <w:pPr>
              <w:rPr>
                <w:sz w:val="16"/>
                <w:szCs w:val="16"/>
              </w:rPr>
            </w:pPr>
            <w:r w:rsidRPr="00A37C23">
              <w:rPr>
                <w:sz w:val="16"/>
                <w:szCs w:val="16"/>
              </w:rPr>
              <w:t>4 hafta</w:t>
            </w:r>
          </w:p>
          <w:p w:rsidR="00A37C23" w:rsidRPr="00A37C23" w:rsidRDefault="00A37C23" w:rsidP="00A37C23">
            <w:pPr>
              <w:rPr>
                <w:sz w:val="16"/>
                <w:szCs w:val="16"/>
              </w:rPr>
            </w:pPr>
            <w:r w:rsidRPr="00A37C23">
              <w:rPr>
                <w:sz w:val="16"/>
                <w:szCs w:val="16"/>
              </w:rPr>
              <w:t xml:space="preserve">3 öğüne bölünmüş 750 mL portakal suyu </w:t>
            </w:r>
          </w:p>
        </w:tc>
        <w:tc>
          <w:tcPr>
            <w:tcW w:w="2977" w:type="dxa"/>
          </w:tcPr>
          <w:p w:rsidR="00A37C23" w:rsidRPr="00A37C23" w:rsidRDefault="00A37C23" w:rsidP="00A37C23">
            <w:pPr>
              <w:rPr>
                <w:sz w:val="16"/>
                <w:szCs w:val="16"/>
              </w:rPr>
            </w:pPr>
            <w:r w:rsidRPr="00A37C23">
              <w:rPr>
                <w:sz w:val="16"/>
                <w:szCs w:val="16"/>
              </w:rPr>
              <w:t>25 hiperkolesterolemili birey (55 ±11 yaş)</w:t>
            </w:r>
          </w:p>
        </w:tc>
        <w:tc>
          <w:tcPr>
            <w:tcW w:w="4536" w:type="dxa"/>
            <w:hideMark/>
          </w:tcPr>
          <w:p w:rsidR="00A37C23" w:rsidRPr="00A37C23" w:rsidRDefault="00A37C23" w:rsidP="00A37C23">
            <w:pPr>
              <w:rPr>
                <w:sz w:val="16"/>
                <w:szCs w:val="16"/>
              </w:rPr>
            </w:pPr>
            <w:r w:rsidRPr="00A37C23">
              <w:rPr>
                <w:sz w:val="16"/>
                <w:szCs w:val="16"/>
              </w:rPr>
              <w:t>HDL (%21), trigliserit  (%30) ↑, folat  (%18) ↑</w:t>
            </w:r>
          </w:p>
          <w:p w:rsidR="00A37C23" w:rsidRPr="00A37C23" w:rsidRDefault="00A37C23" w:rsidP="00A37C23">
            <w:pPr>
              <w:rPr>
                <w:sz w:val="16"/>
                <w:szCs w:val="16"/>
              </w:rPr>
            </w:pPr>
            <w:r w:rsidRPr="00A37C23">
              <w:rPr>
                <w:sz w:val="16"/>
                <w:szCs w:val="16"/>
              </w:rPr>
              <w:t>LDL (%16) ↓</w:t>
            </w:r>
          </w:p>
          <w:p w:rsidR="00A37C23" w:rsidRPr="00A37C23" w:rsidRDefault="00A37C23" w:rsidP="00A37C23">
            <w:pPr>
              <w:rPr>
                <w:sz w:val="16"/>
                <w:szCs w:val="16"/>
              </w:rPr>
            </w:pPr>
            <w:r w:rsidRPr="00A37C23">
              <w:rPr>
                <w:sz w:val="16"/>
                <w:szCs w:val="16"/>
              </w:rPr>
              <w:t>Homosistein →</w:t>
            </w:r>
          </w:p>
        </w:tc>
        <w:tc>
          <w:tcPr>
            <w:tcW w:w="2268" w:type="dxa"/>
            <w:hideMark/>
          </w:tcPr>
          <w:p w:rsidR="00A37C23" w:rsidRPr="00A37C23" w:rsidRDefault="00A37C23" w:rsidP="00A37C23">
            <w:pPr>
              <w:rPr>
                <w:sz w:val="16"/>
                <w:szCs w:val="16"/>
              </w:rPr>
            </w:pPr>
            <w:r w:rsidRPr="00A37C23">
              <w:rPr>
                <w:sz w:val="16"/>
                <w:szCs w:val="16"/>
              </w:rPr>
              <w:t>(Kurowska ve diğerleri, 2000)</w:t>
            </w:r>
          </w:p>
        </w:tc>
      </w:tr>
      <w:tr w:rsidR="00A37C23" w:rsidRPr="00A37C23" w:rsidTr="002773F1">
        <w:trPr>
          <w:trHeight w:val="1482"/>
        </w:trPr>
        <w:tc>
          <w:tcPr>
            <w:tcW w:w="1985" w:type="dxa"/>
            <w:hideMark/>
          </w:tcPr>
          <w:p w:rsidR="00A37C23" w:rsidRPr="00A37C23" w:rsidRDefault="00A37C23" w:rsidP="00A37C23">
            <w:pPr>
              <w:ind w:right="-110"/>
              <w:rPr>
                <w:sz w:val="16"/>
                <w:szCs w:val="16"/>
              </w:rPr>
            </w:pPr>
            <w:r w:rsidRPr="00A37C23">
              <w:rPr>
                <w:sz w:val="16"/>
                <w:szCs w:val="16"/>
              </w:rPr>
              <w:t>Portakal suyu</w:t>
            </w:r>
          </w:p>
          <w:p w:rsidR="00A37C23" w:rsidRPr="00A37C23" w:rsidRDefault="00A37C23" w:rsidP="00A37C23">
            <w:pPr>
              <w:ind w:right="-110"/>
              <w:rPr>
                <w:sz w:val="16"/>
                <w:szCs w:val="16"/>
              </w:rPr>
            </w:pPr>
          </w:p>
          <w:p w:rsidR="00A37C23" w:rsidRPr="00A37C23" w:rsidRDefault="00A37C23" w:rsidP="00A37C23">
            <w:pPr>
              <w:ind w:right="-110"/>
              <w:rPr>
                <w:sz w:val="16"/>
                <w:szCs w:val="16"/>
              </w:rPr>
            </w:pPr>
          </w:p>
        </w:tc>
        <w:tc>
          <w:tcPr>
            <w:tcW w:w="4536" w:type="dxa"/>
            <w:hideMark/>
          </w:tcPr>
          <w:p w:rsidR="00A37C23" w:rsidRPr="00A37C23" w:rsidRDefault="00A37C23" w:rsidP="00A37C23">
            <w:pPr>
              <w:rPr>
                <w:sz w:val="16"/>
                <w:szCs w:val="16"/>
              </w:rPr>
            </w:pPr>
            <w:r w:rsidRPr="00A37C23">
              <w:rPr>
                <w:sz w:val="16"/>
                <w:szCs w:val="16"/>
              </w:rPr>
              <w:t>&gt;12 ay</w:t>
            </w:r>
          </w:p>
          <w:p w:rsidR="00A37C23" w:rsidRPr="00A37C23" w:rsidRDefault="00A37C23" w:rsidP="00A37C23">
            <w:pPr>
              <w:rPr>
                <w:sz w:val="16"/>
                <w:szCs w:val="16"/>
              </w:rPr>
            </w:pPr>
            <w:proofErr w:type="gramStart"/>
            <w:r w:rsidRPr="00A37C23">
              <w:rPr>
                <w:sz w:val="16"/>
                <w:szCs w:val="16"/>
              </w:rPr>
              <w:t>ortalama</w:t>
            </w:r>
            <w:proofErr w:type="gramEnd"/>
            <w:r w:rsidRPr="00A37C23">
              <w:rPr>
                <w:sz w:val="16"/>
                <w:szCs w:val="16"/>
              </w:rPr>
              <w:t xml:space="preserve"> 480 mL/gün portakal suyu </w:t>
            </w:r>
          </w:p>
        </w:tc>
        <w:tc>
          <w:tcPr>
            <w:tcW w:w="2977" w:type="dxa"/>
            <w:hideMark/>
          </w:tcPr>
          <w:p w:rsidR="00A37C23" w:rsidRPr="00A37C23" w:rsidRDefault="00A37C23" w:rsidP="00A37C23">
            <w:pPr>
              <w:rPr>
                <w:sz w:val="16"/>
                <w:szCs w:val="16"/>
              </w:rPr>
            </w:pPr>
            <w:r w:rsidRPr="00A37C23">
              <w:rPr>
                <w:sz w:val="16"/>
                <w:szCs w:val="16"/>
              </w:rPr>
              <w:t xml:space="preserve">129 sağlıklı ve hiperkolesterolemili </w:t>
            </w:r>
          </w:p>
          <w:p w:rsidR="00A37C23" w:rsidRPr="00A37C23" w:rsidRDefault="00A37C23" w:rsidP="00A37C23">
            <w:pPr>
              <w:rPr>
                <w:sz w:val="16"/>
                <w:szCs w:val="16"/>
              </w:rPr>
            </w:pPr>
            <w:proofErr w:type="gramStart"/>
            <w:r w:rsidRPr="00A37C23">
              <w:rPr>
                <w:sz w:val="16"/>
                <w:szCs w:val="16"/>
              </w:rPr>
              <w:t>birey</w:t>
            </w:r>
            <w:proofErr w:type="gramEnd"/>
            <w:r w:rsidRPr="00A37C23">
              <w:rPr>
                <w:sz w:val="16"/>
                <w:szCs w:val="16"/>
              </w:rPr>
              <w:t xml:space="preserve"> (18-66 yaş)</w:t>
            </w:r>
          </w:p>
        </w:tc>
        <w:tc>
          <w:tcPr>
            <w:tcW w:w="4536" w:type="dxa"/>
            <w:hideMark/>
          </w:tcPr>
          <w:p w:rsidR="00A37C23" w:rsidRPr="00A37C23" w:rsidRDefault="00A37C23" w:rsidP="00A37C23">
            <w:pPr>
              <w:rPr>
                <w:sz w:val="16"/>
                <w:szCs w:val="16"/>
              </w:rPr>
            </w:pPr>
            <w:r w:rsidRPr="00A37C23">
              <w:rPr>
                <w:sz w:val="16"/>
                <w:szCs w:val="16"/>
              </w:rPr>
              <w:t>Sağlıklı bireyler:</w:t>
            </w:r>
          </w:p>
          <w:p w:rsidR="00A37C23" w:rsidRPr="00A37C23" w:rsidRDefault="00A37C23" w:rsidP="00A37C23">
            <w:pPr>
              <w:rPr>
                <w:sz w:val="16"/>
                <w:szCs w:val="16"/>
              </w:rPr>
            </w:pPr>
            <w:r w:rsidRPr="00A37C23">
              <w:rPr>
                <w:sz w:val="16"/>
                <w:szCs w:val="16"/>
              </w:rPr>
              <w:t>%11, LDL (%18) ve ApoB (%12) ↓</w:t>
            </w:r>
          </w:p>
          <w:p w:rsidR="00A37C23" w:rsidRPr="00A37C23" w:rsidRDefault="00A37C23" w:rsidP="00A37C23">
            <w:pPr>
              <w:rPr>
                <w:sz w:val="16"/>
                <w:szCs w:val="16"/>
              </w:rPr>
            </w:pPr>
            <w:r w:rsidRPr="00A37C23">
              <w:rPr>
                <w:sz w:val="16"/>
                <w:szCs w:val="16"/>
              </w:rPr>
              <w:t>hiperkolesterolemik bireyler:</w:t>
            </w:r>
          </w:p>
          <w:p w:rsidR="00A37C23" w:rsidRPr="00A37C23" w:rsidRDefault="00A37C23" w:rsidP="00A37C23">
            <w:pPr>
              <w:rPr>
                <w:sz w:val="16"/>
                <w:szCs w:val="16"/>
              </w:rPr>
            </w:pPr>
            <w:r w:rsidRPr="00A37C23">
              <w:rPr>
                <w:sz w:val="16"/>
                <w:szCs w:val="16"/>
              </w:rPr>
              <w:t>LDL (%5) ve ApoB (%12) ↓</w:t>
            </w:r>
          </w:p>
          <w:p w:rsidR="00A37C23" w:rsidRPr="00A37C23" w:rsidRDefault="00A37C23" w:rsidP="00A37C23">
            <w:pPr>
              <w:rPr>
                <w:sz w:val="16"/>
                <w:szCs w:val="16"/>
              </w:rPr>
            </w:pPr>
            <w:r w:rsidRPr="00A37C23">
              <w:rPr>
                <w:sz w:val="16"/>
                <w:szCs w:val="16"/>
              </w:rPr>
              <w:t>Her iki grup:</w:t>
            </w:r>
          </w:p>
          <w:p w:rsidR="00A37C23" w:rsidRPr="00A37C23" w:rsidRDefault="00A37C23" w:rsidP="00A37C23">
            <w:pPr>
              <w:rPr>
                <w:sz w:val="16"/>
                <w:szCs w:val="16"/>
              </w:rPr>
            </w:pPr>
            <w:r w:rsidRPr="00A37C23">
              <w:rPr>
                <w:sz w:val="16"/>
                <w:szCs w:val="16"/>
              </w:rPr>
              <w:t>C vitamini ve folat ↑</w:t>
            </w:r>
          </w:p>
          <w:p w:rsidR="00A37C23" w:rsidRPr="00A37C23" w:rsidRDefault="00A37C23" w:rsidP="00A37C23">
            <w:pPr>
              <w:rPr>
                <w:sz w:val="16"/>
                <w:szCs w:val="16"/>
              </w:rPr>
            </w:pPr>
            <w:r w:rsidRPr="00A37C23">
              <w:rPr>
                <w:sz w:val="16"/>
                <w:szCs w:val="16"/>
              </w:rPr>
              <w:t>Homosistein, HDL, Apo A1→</w:t>
            </w:r>
          </w:p>
        </w:tc>
        <w:tc>
          <w:tcPr>
            <w:tcW w:w="2268" w:type="dxa"/>
            <w:hideMark/>
          </w:tcPr>
          <w:p w:rsidR="00A37C23" w:rsidRPr="00A37C23" w:rsidRDefault="00F520A5" w:rsidP="00A37C23">
            <w:pPr>
              <w:rPr>
                <w:sz w:val="16"/>
                <w:szCs w:val="16"/>
              </w:rPr>
            </w:pPr>
            <w:sdt>
              <w:sdtPr>
                <w:rPr>
                  <w:sz w:val="16"/>
                  <w:szCs w:val="16"/>
                </w:rPr>
                <w:id w:val="-1504347581"/>
                <w:citation/>
              </w:sdtPr>
              <w:sdtEndPr/>
              <w:sdtContent>
                <w:r w:rsidR="00A37C23" w:rsidRPr="00A37C23">
                  <w:rPr>
                    <w:sz w:val="16"/>
                    <w:szCs w:val="16"/>
                  </w:rPr>
                  <w:fldChar w:fldCharType="begin"/>
                </w:r>
                <w:r w:rsidR="00A37C23" w:rsidRPr="00A37C23">
                  <w:rPr>
                    <w:sz w:val="16"/>
                    <w:szCs w:val="16"/>
                  </w:rPr>
                  <w:instrText xml:space="preserve"> CITATION Nan13 \l 1055 </w:instrText>
                </w:r>
                <w:r w:rsidR="00A37C23" w:rsidRPr="00A37C23">
                  <w:rPr>
                    <w:sz w:val="16"/>
                    <w:szCs w:val="16"/>
                  </w:rPr>
                  <w:fldChar w:fldCharType="separate"/>
                </w:r>
                <w:r w:rsidR="00A37C23" w:rsidRPr="00A37C23">
                  <w:rPr>
                    <w:sz w:val="16"/>
                    <w:szCs w:val="16"/>
                  </w:rPr>
                  <w:t>(Aptekmann &amp; Cesar, 2013)</w:t>
                </w:r>
                <w:r w:rsidR="00A37C23" w:rsidRPr="00A37C23">
                  <w:rPr>
                    <w:sz w:val="16"/>
                    <w:szCs w:val="16"/>
                  </w:rPr>
                  <w:fldChar w:fldCharType="end"/>
                </w:r>
              </w:sdtContent>
            </w:sdt>
          </w:p>
        </w:tc>
      </w:tr>
      <w:tr w:rsidR="00A37C23" w:rsidRPr="00A37C23" w:rsidTr="002773F1">
        <w:trPr>
          <w:trHeight w:val="287"/>
        </w:trPr>
        <w:tc>
          <w:tcPr>
            <w:tcW w:w="1985" w:type="dxa"/>
            <w:hideMark/>
          </w:tcPr>
          <w:p w:rsidR="00A37C23" w:rsidRPr="00A37C23" w:rsidRDefault="00A37C23" w:rsidP="00A37C23">
            <w:pPr>
              <w:ind w:right="-110"/>
              <w:rPr>
                <w:sz w:val="16"/>
                <w:szCs w:val="16"/>
              </w:rPr>
            </w:pPr>
            <w:r w:rsidRPr="00A37C23">
              <w:rPr>
                <w:sz w:val="16"/>
                <w:szCs w:val="16"/>
              </w:rPr>
              <w:t>Portakal suyu</w:t>
            </w:r>
          </w:p>
        </w:tc>
        <w:tc>
          <w:tcPr>
            <w:tcW w:w="4536" w:type="dxa"/>
            <w:hideMark/>
          </w:tcPr>
          <w:p w:rsidR="00A37C23" w:rsidRPr="00A37C23" w:rsidRDefault="00A37C23" w:rsidP="00A37C23">
            <w:pPr>
              <w:rPr>
                <w:sz w:val="16"/>
                <w:szCs w:val="16"/>
              </w:rPr>
            </w:pPr>
            <w:r w:rsidRPr="00A37C23">
              <w:rPr>
                <w:sz w:val="16"/>
                <w:szCs w:val="16"/>
              </w:rPr>
              <w:t xml:space="preserve">4 hafta </w:t>
            </w:r>
          </w:p>
          <w:p w:rsidR="00A37C23" w:rsidRPr="00A37C23" w:rsidRDefault="00A37C23" w:rsidP="00A37C23">
            <w:pPr>
              <w:rPr>
                <w:sz w:val="16"/>
                <w:szCs w:val="16"/>
              </w:rPr>
            </w:pPr>
            <w:r w:rsidRPr="00A37C23">
              <w:rPr>
                <w:sz w:val="16"/>
                <w:szCs w:val="16"/>
              </w:rPr>
              <w:t xml:space="preserve">2x500 ml/gün portakal suyu </w:t>
            </w:r>
          </w:p>
        </w:tc>
        <w:tc>
          <w:tcPr>
            <w:tcW w:w="2977" w:type="dxa"/>
            <w:hideMark/>
          </w:tcPr>
          <w:p w:rsidR="00A37C23" w:rsidRPr="00A37C23" w:rsidRDefault="00A37C23" w:rsidP="00A37C23">
            <w:pPr>
              <w:rPr>
                <w:sz w:val="16"/>
                <w:szCs w:val="16"/>
              </w:rPr>
            </w:pPr>
            <w:r w:rsidRPr="00A37C23">
              <w:rPr>
                <w:sz w:val="16"/>
                <w:szCs w:val="16"/>
              </w:rPr>
              <w:t>22 sağlıklı birey (18-59 yaş)</w:t>
            </w:r>
          </w:p>
        </w:tc>
        <w:tc>
          <w:tcPr>
            <w:tcW w:w="4536" w:type="dxa"/>
            <w:hideMark/>
          </w:tcPr>
          <w:p w:rsidR="00A37C23" w:rsidRPr="00A37C23" w:rsidRDefault="00A37C23" w:rsidP="00A37C23">
            <w:pPr>
              <w:rPr>
                <w:sz w:val="16"/>
                <w:szCs w:val="16"/>
              </w:rPr>
            </w:pPr>
            <w:r w:rsidRPr="00A37C23">
              <w:rPr>
                <w:sz w:val="16"/>
                <w:szCs w:val="16"/>
              </w:rPr>
              <w:t>Bireylerin kan basınçlarında ortalama 3-4 mmHg ↓</w:t>
            </w:r>
          </w:p>
        </w:tc>
        <w:tc>
          <w:tcPr>
            <w:tcW w:w="2268" w:type="dxa"/>
            <w:hideMark/>
          </w:tcPr>
          <w:p w:rsidR="00A37C23" w:rsidRPr="00A37C23" w:rsidRDefault="00F520A5" w:rsidP="00A37C23">
            <w:pPr>
              <w:rPr>
                <w:sz w:val="16"/>
                <w:szCs w:val="16"/>
              </w:rPr>
            </w:pPr>
            <w:sdt>
              <w:sdtPr>
                <w:rPr>
                  <w:sz w:val="16"/>
                  <w:szCs w:val="16"/>
                </w:rPr>
                <w:id w:val="211240471"/>
                <w:citation/>
              </w:sdtPr>
              <w:sdtEndPr/>
              <w:sdtContent>
                <w:r w:rsidR="00A37C23" w:rsidRPr="00A37C23">
                  <w:rPr>
                    <w:sz w:val="16"/>
                    <w:szCs w:val="16"/>
                  </w:rPr>
                  <w:fldChar w:fldCharType="begin"/>
                </w:r>
                <w:r w:rsidR="00A37C23" w:rsidRPr="00A37C23">
                  <w:rPr>
                    <w:sz w:val="16"/>
                    <w:szCs w:val="16"/>
                  </w:rPr>
                  <w:instrText xml:space="preserve"> CITATION Sed13 \l 1055 </w:instrText>
                </w:r>
                <w:r w:rsidR="00A37C23" w:rsidRPr="00A37C23">
                  <w:rPr>
                    <w:sz w:val="16"/>
                    <w:szCs w:val="16"/>
                  </w:rPr>
                  <w:fldChar w:fldCharType="separate"/>
                </w:r>
                <w:r w:rsidR="00A37C23" w:rsidRPr="00A37C23">
                  <w:rPr>
                    <w:sz w:val="16"/>
                    <w:szCs w:val="16"/>
                  </w:rPr>
                  <w:t>(Asgary &amp; Keshvari, 2013)</w:t>
                </w:r>
                <w:r w:rsidR="00A37C23" w:rsidRPr="00A37C23">
                  <w:rPr>
                    <w:sz w:val="16"/>
                    <w:szCs w:val="16"/>
                  </w:rPr>
                  <w:fldChar w:fldCharType="end"/>
                </w:r>
              </w:sdtContent>
            </w:sdt>
          </w:p>
        </w:tc>
      </w:tr>
      <w:tr w:rsidR="00A37C23" w:rsidRPr="00A37C23" w:rsidTr="002773F1">
        <w:trPr>
          <w:trHeight w:val="287"/>
        </w:trPr>
        <w:tc>
          <w:tcPr>
            <w:tcW w:w="1985" w:type="dxa"/>
            <w:hideMark/>
          </w:tcPr>
          <w:p w:rsidR="00A37C23" w:rsidRPr="00A37C23" w:rsidRDefault="00A37C23" w:rsidP="00A37C23">
            <w:pPr>
              <w:ind w:right="-110"/>
              <w:rPr>
                <w:sz w:val="16"/>
                <w:szCs w:val="16"/>
              </w:rPr>
            </w:pPr>
            <w:r w:rsidRPr="00A37C23">
              <w:rPr>
                <w:sz w:val="16"/>
                <w:szCs w:val="16"/>
              </w:rPr>
              <w:t>Portakal suyu-Hesperidin</w:t>
            </w:r>
          </w:p>
        </w:tc>
        <w:tc>
          <w:tcPr>
            <w:tcW w:w="4536" w:type="dxa"/>
            <w:hideMark/>
          </w:tcPr>
          <w:p w:rsidR="00A37C23" w:rsidRPr="00A37C23" w:rsidRDefault="00A37C23" w:rsidP="00A37C23">
            <w:pPr>
              <w:rPr>
                <w:sz w:val="16"/>
                <w:szCs w:val="16"/>
              </w:rPr>
            </w:pPr>
            <w:r w:rsidRPr="00A37C23">
              <w:rPr>
                <w:sz w:val="16"/>
                <w:szCs w:val="16"/>
              </w:rPr>
              <w:t>4 hafta</w:t>
            </w:r>
          </w:p>
          <w:p w:rsidR="00A37C23" w:rsidRPr="00A37C23" w:rsidRDefault="00A37C23" w:rsidP="00A37C23">
            <w:pPr>
              <w:rPr>
                <w:sz w:val="16"/>
                <w:szCs w:val="16"/>
              </w:rPr>
            </w:pPr>
            <w:r w:rsidRPr="00A37C23">
              <w:rPr>
                <w:sz w:val="16"/>
                <w:szCs w:val="16"/>
              </w:rPr>
              <w:t>500 mL/gün portakal suyu</w:t>
            </w:r>
          </w:p>
          <w:p w:rsidR="00A37C23" w:rsidRPr="00A37C23" w:rsidRDefault="00A37C23" w:rsidP="00A37C23">
            <w:pPr>
              <w:rPr>
                <w:sz w:val="16"/>
                <w:szCs w:val="16"/>
              </w:rPr>
            </w:pPr>
            <w:r w:rsidRPr="00A37C23">
              <w:rPr>
                <w:sz w:val="16"/>
                <w:szCs w:val="16"/>
              </w:rPr>
              <w:t>500 mL/gün hesperidin eklenmiş içecek</w:t>
            </w:r>
          </w:p>
          <w:p w:rsidR="00A37C23" w:rsidRPr="00A37C23" w:rsidRDefault="00A37C23" w:rsidP="00A37C23">
            <w:pPr>
              <w:rPr>
                <w:sz w:val="16"/>
                <w:szCs w:val="16"/>
              </w:rPr>
            </w:pPr>
            <w:r w:rsidRPr="00A37C23">
              <w:rPr>
                <w:sz w:val="16"/>
                <w:szCs w:val="16"/>
              </w:rPr>
              <w:t>500 ml/gün plasebo içecek</w:t>
            </w:r>
          </w:p>
        </w:tc>
        <w:tc>
          <w:tcPr>
            <w:tcW w:w="2977" w:type="dxa"/>
            <w:hideMark/>
          </w:tcPr>
          <w:p w:rsidR="00A37C23" w:rsidRPr="00A37C23" w:rsidRDefault="00A37C23" w:rsidP="00A37C23">
            <w:pPr>
              <w:rPr>
                <w:sz w:val="16"/>
                <w:szCs w:val="16"/>
              </w:rPr>
            </w:pPr>
            <w:r w:rsidRPr="00A37C23">
              <w:rPr>
                <w:sz w:val="16"/>
                <w:szCs w:val="16"/>
              </w:rPr>
              <w:t>24 kilolu birey (50-65 yaş)</w:t>
            </w:r>
          </w:p>
          <w:p w:rsidR="00A37C23" w:rsidRPr="00A37C23" w:rsidRDefault="00A37C23" w:rsidP="00A37C23">
            <w:pPr>
              <w:rPr>
                <w:sz w:val="16"/>
                <w:szCs w:val="16"/>
              </w:rPr>
            </w:pPr>
          </w:p>
        </w:tc>
        <w:tc>
          <w:tcPr>
            <w:tcW w:w="4536" w:type="dxa"/>
            <w:hideMark/>
          </w:tcPr>
          <w:p w:rsidR="00A37C23" w:rsidRPr="00A37C23" w:rsidRDefault="00A37C23" w:rsidP="00A37C23">
            <w:pPr>
              <w:rPr>
                <w:sz w:val="16"/>
                <w:szCs w:val="16"/>
              </w:rPr>
            </w:pPr>
            <w:r w:rsidRPr="00A37C23">
              <w:rPr>
                <w:sz w:val="16"/>
                <w:szCs w:val="16"/>
              </w:rPr>
              <w:t xml:space="preserve">Vasüler </w:t>
            </w:r>
            <w:proofErr w:type="gramStart"/>
            <w:r w:rsidRPr="00A37C23">
              <w:rPr>
                <w:sz w:val="16"/>
                <w:szCs w:val="16"/>
              </w:rPr>
              <w:t>adezyon</w:t>
            </w:r>
            <w:proofErr w:type="gramEnd"/>
            <w:r w:rsidRPr="00A37C23">
              <w:rPr>
                <w:sz w:val="16"/>
                <w:szCs w:val="16"/>
              </w:rPr>
              <w:t xml:space="preserve"> molekülleri ve yağ taşınmasında etkili gen kontrolü ile anti-inflamatuvar ve anti-aterojenik etki</w:t>
            </w:r>
          </w:p>
        </w:tc>
        <w:tc>
          <w:tcPr>
            <w:tcW w:w="2268" w:type="dxa"/>
            <w:hideMark/>
          </w:tcPr>
          <w:p w:rsidR="00A37C23" w:rsidRPr="00A37C23" w:rsidRDefault="00A37C23" w:rsidP="00A37C23">
            <w:pPr>
              <w:rPr>
                <w:sz w:val="16"/>
                <w:szCs w:val="16"/>
              </w:rPr>
            </w:pPr>
            <w:r w:rsidRPr="00A37C23">
              <w:rPr>
                <w:sz w:val="16"/>
                <w:szCs w:val="16"/>
              </w:rPr>
              <w:t>(Milenkovic, Deval, Dubray, Mazur &amp; Morand, 2011)</w:t>
            </w:r>
          </w:p>
        </w:tc>
      </w:tr>
      <w:tr w:rsidR="00A37C23" w:rsidRPr="00A37C23" w:rsidTr="002773F1">
        <w:trPr>
          <w:trHeight w:val="287"/>
        </w:trPr>
        <w:tc>
          <w:tcPr>
            <w:tcW w:w="1985" w:type="dxa"/>
            <w:hideMark/>
          </w:tcPr>
          <w:p w:rsidR="00A37C23" w:rsidRPr="00A37C23" w:rsidRDefault="00A37C23" w:rsidP="00A37C23">
            <w:pPr>
              <w:ind w:right="-110"/>
              <w:rPr>
                <w:sz w:val="16"/>
                <w:szCs w:val="16"/>
              </w:rPr>
            </w:pPr>
            <w:r w:rsidRPr="00A37C23">
              <w:rPr>
                <w:sz w:val="16"/>
                <w:szCs w:val="16"/>
              </w:rPr>
              <w:t>Portakal suyu-Hesperidin</w:t>
            </w:r>
          </w:p>
        </w:tc>
        <w:tc>
          <w:tcPr>
            <w:tcW w:w="4536" w:type="dxa"/>
          </w:tcPr>
          <w:p w:rsidR="00A37C23" w:rsidRPr="00A37C23" w:rsidRDefault="00A37C23" w:rsidP="00A37C23">
            <w:pPr>
              <w:rPr>
                <w:sz w:val="16"/>
                <w:szCs w:val="16"/>
              </w:rPr>
            </w:pPr>
            <w:r w:rsidRPr="00A37C23">
              <w:rPr>
                <w:sz w:val="16"/>
                <w:szCs w:val="16"/>
              </w:rPr>
              <w:t>4 hafta</w:t>
            </w:r>
          </w:p>
          <w:p w:rsidR="00A37C23" w:rsidRPr="00A37C23" w:rsidRDefault="00A37C23" w:rsidP="00A37C23">
            <w:pPr>
              <w:rPr>
                <w:sz w:val="16"/>
                <w:szCs w:val="16"/>
              </w:rPr>
            </w:pPr>
            <w:r w:rsidRPr="00A37C23">
              <w:rPr>
                <w:sz w:val="16"/>
                <w:szCs w:val="16"/>
              </w:rPr>
              <w:t>500 ml/gün portakal suyu</w:t>
            </w:r>
          </w:p>
          <w:p w:rsidR="00A37C23" w:rsidRPr="00A37C23" w:rsidRDefault="00A37C23" w:rsidP="00A37C23">
            <w:pPr>
              <w:rPr>
                <w:sz w:val="16"/>
                <w:szCs w:val="16"/>
              </w:rPr>
            </w:pPr>
            <w:r w:rsidRPr="00A37C23">
              <w:rPr>
                <w:sz w:val="16"/>
                <w:szCs w:val="16"/>
              </w:rPr>
              <w:t>500 ml/gün hesperidin eklenmiş içecek</w:t>
            </w:r>
          </w:p>
          <w:p w:rsidR="00A37C23" w:rsidRPr="00A37C23" w:rsidRDefault="00A37C23" w:rsidP="00A37C23">
            <w:pPr>
              <w:rPr>
                <w:sz w:val="16"/>
                <w:szCs w:val="16"/>
              </w:rPr>
            </w:pPr>
            <w:r w:rsidRPr="00A37C23">
              <w:rPr>
                <w:sz w:val="16"/>
                <w:szCs w:val="16"/>
              </w:rPr>
              <w:t>500 ml/gün plasebo içecek</w:t>
            </w:r>
          </w:p>
        </w:tc>
        <w:tc>
          <w:tcPr>
            <w:tcW w:w="2977" w:type="dxa"/>
          </w:tcPr>
          <w:p w:rsidR="00A37C23" w:rsidRPr="00A37C23" w:rsidRDefault="00A37C23" w:rsidP="00A37C23">
            <w:pPr>
              <w:rPr>
                <w:sz w:val="16"/>
                <w:szCs w:val="16"/>
              </w:rPr>
            </w:pPr>
            <w:r w:rsidRPr="00A37C23">
              <w:rPr>
                <w:sz w:val="16"/>
                <w:szCs w:val="16"/>
              </w:rPr>
              <w:t>24 kilolu birey (50-65 yaş)</w:t>
            </w:r>
          </w:p>
          <w:p w:rsidR="00A37C23" w:rsidRPr="00A37C23" w:rsidRDefault="00A37C23" w:rsidP="00A37C23">
            <w:pPr>
              <w:rPr>
                <w:sz w:val="16"/>
                <w:szCs w:val="16"/>
              </w:rPr>
            </w:pPr>
          </w:p>
          <w:p w:rsidR="00A37C23" w:rsidRPr="00A37C23" w:rsidRDefault="00A37C23" w:rsidP="00A37C23">
            <w:pPr>
              <w:rPr>
                <w:sz w:val="16"/>
                <w:szCs w:val="16"/>
              </w:rPr>
            </w:pPr>
          </w:p>
        </w:tc>
        <w:tc>
          <w:tcPr>
            <w:tcW w:w="4536" w:type="dxa"/>
          </w:tcPr>
          <w:p w:rsidR="00A37C23" w:rsidRPr="00A37C23" w:rsidRDefault="00A37C23" w:rsidP="00A37C23">
            <w:pPr>
              <w:rPr>
                <w:sz w:val="16"/>
                <w:szCs w:val="16"/>
              </w:rPr>
            </w:pPr>
            <w:r w:rsidRPr="00A37C23">
              <w:rPr>
                <w:sz w:val="16"/>
                <w:szCs w:val="16"/>
              </w:rPr>
              <w:t>Portakal suyu verilen grup:</w:t>
            </w:r>
          </w:p>
          <w:p w:rsidR="00A37C23" w:rsidRPr="00A37C23" w:rsidRDefault="00A37C23" w:rsidP="00A37C23">
            <w:pPr>
              <w:rPr>
                <w:sz w:val="16"/>
                <w:szCs w:val="16"/>
              </w:rPr>
            </w:pPr>
            <w:r w:rsidRPr="00A37C23">
              <w:rPr>
                <w:sz w:val="16"/>
                <w:szCs w:val="16"/>
              </w:rPr>
              <w:t>Diastolik kan basıncı ↓</w:t>
            </w:r>
          </w:p>
          <w:p w:rsidR="00A37C23" w:rsidRPr="00A37C23" w:rsidRDefault="00A37C23" w:rsidP="00A37C23">
            <w:pPr>
              <w:rPr>
                <w:sz w:val="16"/>
                <w:szCs w:val="16"/>
              </w:rPr>
            </w:pPr>
            <w:r w:rsidRPr="00A37C23">
              <w:rPr>
                <w:sz w:val="16"/>
                <w:szCs w:val="16"/>
              </w:rPr>
              <w:t>Mikrovasküler reaktiviteyi iyileştirici etki</w:t>
            </w:r>
          </w:p>
          <w:p w:rsidR="00A37C23" w:rsidRPr="00A37C23" w:rsidRDefault="00A37C23" w:rsidP="00A37C23">
            <w:pPr>
              <w:rPr>
                <w:sz w:val="16"/>
                <w:szCs w:val="16"/>
              </w:rPr>
            </w:pPr>
          </w:p>
        </w:tc>
        <w:tc>
          <w:tcPr>
            <w:tcW w:w="2268" w:type="dxa"/>
            <w:hideMark/>
          </w:tcPr>
          <w:p w:rsidR="00A37C23" w:rsidRPr="00A37C23" w:rsidRDefault="00A37C23" w:rsidP="00A37C23">
            <w:pPr>
              <w:rPr>
                <w:sz w:val="16"/>
                <w:szCs w:val="16"/>
              </w:rPr>
            </w:pPr>
            <w:r w:rsidRPr="00A37C23">
              <w:rPr>
                <w:sz w:val="16"/>
                <w:szCs w:val="16"/>
              </w:rPr>
              <w:t>(Morand ve diğerleri, 2011)</w:t>
            </w:r>
          </w:p>
        </w:tc>
      </w:tr>
      <w:tr w:rsidR="00A37C23" w:rsidRPr="00A37C23" w:rsidTr="002773F1">
        <w:trPr>
          <w:trHeight w:val="549"/>
        </w:trPr>
        <w:tc>
          <w:tcPr>
            <w:tcW w:w="1985" w:type="dxa"/>
          </w:tcPr>
          <w:p w:rsidR="00A37C23" w:rsidRPr="00A37C23" w:rsidRDefault="00A37C23" w:rsidP="00A37C23">
            <w:pPr>
              <w:ind w:right="-110"/>
              <w:rPr>
                <w:sz w:val="16"/>
                <w:szCs w:val="16"/>
              </w:rPr>
            </w:pPr>
            <w:r w:rsidRPr="00A37C23">
              <w:rPr>
                <w:sz w:val="16"/>
                <w:szCs w:val="16"/>
              </w:rPr>
              <w:t>Hesperidin-Naringin</w:t>
            </w:r>
          </w:p>
          <w:p w:rsidR="00A37C23" w:rsidRPr="00A37C23" w:rsidRDefault="00A37C23" w:rsidP="00A37C23">
            <w:pPr>
              <w:ind w:right="-110"/>
              <w:rPr>
                <w:sz w:val="16"/>
                <w:szCs w:val="16"/>
              </w:rPr>
            </w:pPr>
          </w:p>
        </w:tc>
        <w:tc>
          <w:tcPr>
            <w:tcW w:w="4536" w:type="dxa"/>
          </w:tcPr>
          <w:p w:rsidR="00A37C23" w:rsidRPr="00A37C23" w:rsidRDefault="00A37C23" w:rsidP="00A37C23">
            <w:pPr>
              <w:rPr>
                <w:sz w:val="16"/>
                <w:szCs w:val="16"/>
              </w:rPr>
            </w:pPr>
            <w:r w:rsidRPr="00A37C23">
              <w:rPr>
                <w:sz w:val="16"/>
                <w:szCs w:val="16"/>
              </w:rPr>
              <w:t>4 hafta  (çapraz çalışma)</w:t>
            </w:r>
          </w:p>
          <w:p w:rsidR="00A37C23" w:rsidRPr="00A37C23" w:rsidRDefault="00A37C23" w:rsidP="00A37C23">
            <w:pPr>
              <w:rPr>
                <w:sz w:val="16"/>
                <w:szCs w:val="16"/>
              </w:rPr>
            </w:pPr>
            <w:r w:rsidRPr="00A37C23">
              <w:rPr>
                <w:sz w:val="16"/>
                <w:szCs w:val="16"/>
              </w:rPr>
              <w:t>Plasebo</w:t>
            </w:r>
          </w:p>
          <w:p w:rsidR="00A37C23" w:rsidRPr="00A37C23" w:rsidRDefault="00A37C23" w:rsidP="00A37C23">
            <w:pPr>
              <w:rPr>
                <w:sz w:val="16"/>
                <w:szCs w:val="16"/>
              </w:rPr>
            </w:pPr>
            <w:r w:rsidRPr="00A37C23">
              <w:rPr>
                <w:sz w:val="16"/>
                <w:szCs w:val="16"/>
              </w:rPr>
              <w:t>Naringin kapsül (500 mg/gün) Hesperidin kapsül (800 mg/gün)</w:t>
            </w:r>
          </w:p>
        </w:tc>
        <w:tc>
          <w:tcPr>
            <w:tcW w:w="2977" w:type="dxa"/>
          </w:tcPr>
          <w:p w:rsidR="00A37C23" w:rsidRPr="00A37C23" w:rsidRDefault="00A37C23" w:rsidP="00A37C23">
            <w:pPr>
              <w:rPr>
                <w:sz w:val="16"/>
                <w:szCs w:val="16"/>
              </w:rPr>
            </w:pPr>
            <w:r w:rsidRPr="00A37C23">
              <w:rPr>
                <w:sz w:val="16"/>
                <w:szCs w:val="16"/>
              </w:rPr>
              <w:t>194 hiperkolesterolemik birey (18-75 yaş)</w:t>
            </w:r>
          </w:p>
        </w:tc>
        <w:tc>
          <w:tcPr>
            <w:tcW w:w="4536" w:type="dxa"/>
          </w:tcPr>
          <w:p w:rsidR="00A37C23" w:rsidRPr="00A37C23" w:rsidRDefault="00A37C23" w:rsidP="00A37C23">
            <w:pPr>
              <w:rPr>
                <w:sz w:val="16"/>
                <w:szCs w:val="16"/>
              </w:rPr>
            </w:pPr>
            <w:r w:rsidRPr="00A37C23">
              <w:rPr>
                <w:sz w:val="16"/>
                <w:szCs w:val="16"/>
              </w:rPr>
              <w:t>Her iki grup:</w:t>
            </w:r>
          </w:p>
          <w:p w:rsidR="00A37C23" w:rsidRPr="00A37C23" w:rsidRDefault="00A37C23" w:rsidP="00A37C23">
            <w:pPr>
              <w:rPr>
                <w:sz w:val="16"/>
                <w:szCs w:val="16"/>
              </w:rPr>
            </w:pPr>
            <w:r w:rsidRPr="00A37C23">
              <w:rPr>
                <w:sz w:val="16"/>
                <w:szCs w:val="16"/>
              </w:rPr>
              <w:t>Kolesterol, HDL, LDL ve trigliserit →</w:t>
            </w:r>
          </w:p>
        </w:tc>
        <w:tc>
          <w:tcPr>
            <w:tcW w:w="2268" w:type="dxa"/>
          </w:tcPr>
          <w:p w:rsidR="00A37C23" w:rsidRPr="00A37C23" w:rsidRDefault="00A37C23" w:rsidP="00A37C23">
            <w:pPr>
              <w:rPr>
                <w:sz w:val="16"/>
                <w:szCs w:val="16"/>
              </w:rPr>
            </w:pPr>
            <w:r w:rsidRPr="00A37C23">
              <w:rPr>
                <w:sz w:val="16"/>
                <w:szCs w:val="16"/>
              </w:rPr>
              <w:t>(Demonty ve diğerleri, 2010)</w:t>
            </w:r>
          </w:p>
        </w:tc>
      </w:tr>
      <w:tr w:rsidR="00A37C23" w:rsidRPr="00A37C23" w:rsidTr="002773F1">
        <w:trPr>
          <w:trHeight w:val="564"/>
        </w:trPr>
        <w:tc>
          <w:tcPr>
            <w:tcW w:w="1985" w:type="dxa"/>
          </w:tcPr>
          <w:p w:rsidR="00A37C23" w:rsidRPr="00A37C23" w:rsidRDefault="00A37C23" w:rsidP="00A37C23">
            <w:pPr>
              <w:ind w:right="-110"/>
              <w:rPr>
                <w:sz w:val="16"/>
                <w:szCs w:val="16"/>
              </w:rPr>
            </w:pPr>
            <w:r w:rsidRPr="00A37C23">
              <w:rPr>
                <w:sz w:val="16"/>
                <w:szCs w:val="16"/>
              </w:rPr>
              <w:t>Hesperidin-Naringenin-</w:t>
            </w:r>
          </w:p>
          <w:p w:rsidR="00A37C23" w:rsidRPr="00A37C23" w:rsidRDefault="00A37C23" w:rsidP="00A37C23">
            <w:pPr>
              <w:ind w:right="-110"/>
              <w:rPr>
                <w:sz w:val="16"/>
                <w:szCs w:val="16"/>
              </w:rPr>
            </w:pPr>
            <w:proofErr w:type="gramStart"/>
            <w:r w:rsidRPr="00A37C23">
              <w:rPr>
                <w:sz w:val="16"/>
                <w:szCs w:val="16"/>
              </w:rPr>
              <w:t>p</w:t>
            </w:r>
            <w:proofErr w:type="gramEnd"/>
            <w:r w:rsidRPr="00A37C23">
              <w:rPr>
                <w:sz w:val="16"/>
                <w:szCs w:val="16"/>
              </w:rPr>
              <w:t>-Sinefrin</w:t>
            </w:r>
          </w:p>
        </w:tc>
        <w:tc>
          <w:tcPr>
            <w:tcW w:w="4536" w:type="dxa"/>
          </w:tcPr>
          <w:p w:rsidR="00A37C23" w:rsidRPr="00A37C23" w:rsidRDefault="00A37C23" w:rsidP="00A37C23">
            <w:pPr>
              <w:rPr>
                <w:sz w:val="16"/>
                <w:szCs w:val="16"/>
              </w:rPr>
            </w:pPr>
            <w:r w:rsidRPr="00A37C23">
              <w:rPr>
                <w:sz w:val="16"/>
                <w:szCs w:val="16"/>
              </w:rPr>
              <w:t>12 hafta</w:t>
            </w:r>
          </w:p>
          <w:p w:rsidR="00A37C23" w:rsidRPr="00A37C23" w:rsidRDefault="00A37C23" w:rsidP="00A37C23">
            <w:pPr>
              <w:rPr>
                <w:sz w:val="16"/>
                <w:szCs w:val="16"/>
              </w:rPr>
            </w:pPr>
            <w:r w:rsidRPr="00A37C23">
              <w:rPr>
                <w:sz w:val="16"/>
                <w:szCs w:val="16"/>
              </w:rPr>
              <w:t>Plasebo</w:t>
            </w:r>
          </w:p>
          <w:p w:rsidR="00A37C23" w:rsidRPr="00A37C23" w:rsidRDefault="00A37C23" w:rsidP="00A37C23">
            <w:pPr>
              <w:rPr>
                <w:sz w:val="16"/>
                <w:szCs w:val="16"/>
              </w:rPr>
            </w:pPr>
            <w:proofErr w:type="gramStart"/>
            <w:r w:rsidRPr="00A37C23">
              <w:rPr>
                <w:sz w:val="16"/>
                <w:szCs w:val="16"/>
              </w:rPr>
              <w:t>p</w:t>
            </w:r>
            <w:proofErr w:type="gramEnd"/>
            <w:r w:rsidRPr="00A37C23">
              <w:rPr>
                <w:sz w:val="16"/>
                <w:szCs w:val="16"/>
              </w:rPr>
              <w:t>-sinefrin (50 mg/gün)</w:t>
            </w:r>
          </w:p>
          <w:p w:rsidR="00A37C23" w:rsidRPr="00A37C23" w:rsidRDefault="00A37C23" w:rsidP="00A37C23">
            <w:pPr>
              <w:rPr>
                <w:sz w:val="16"/>
                <w:szCs w:val="16"/>
              </w:rPr>
            </w:pPr>
            <w:proofErr w:type="gramStart"/>
            <w:r w:rsidRPr="00A37C23">
              <w:rPr>
                <w:sz w:val="16"/>
                <w:szCs w:val="16"/>
              </w:rPr>
              <w:t>p</w:t>
            </w:r>
            <w:proofErr w:type="gramEnd"/>
            <w:r w:rsidRPr="00A37C23">
              <w:rPr>
                <w:sz w:val="16"/>
                <w:szCs w:val="16"/>
              </w:rPr>
              <w:t>-sinefrin (50 mg/gün)+naringin (600 mg/gün)</w:t>
            </w:r>
          </w:p>
          <w:p w:rsidR="00A37C23" w:rsidRPr="00A37C23" w:rsidRDefault="00A37C23" w:rsidP="00A37C23">
            <w:pPr>
              <w:rPr>
                <w:sz w:val="16"/>
                <w:szCs w:val="16"/>
              </w:rPr>
            </w:pPr>
            <w:proofErr w:type="gramStart"/>
            <w:r w:rsidRPr="00A37C23">
              <w:rPr>
                <w:sz w:val="16"/>
                <w:szCs w:val="16"/>
              </w:rPr>
              <w:t>p</w:t>
            </w:r>
            <w:proofErr w:type="gramEnd"/>
            <w:r w:rsidRPr="00A37C23">
              <w:rPr>
                <w:sz w:val="16"/>
                <w:szCs w:val="16"/>
              </w:rPr>
              <w:t>-sinefrin (50 mg/gün)+naringin (600 mg/gün)+hesperidin 100 mg/gün)</w:t>
            </w:r>
          </w:p>
          <w:p w:rsidR="00A37C23" w:rsidRPr="00A37C23" w:rsidRDefault="00A37C23" w:rsidP="00A37C23">
            <w:pPr>
              <w:rPr>
                <w:sz w:val="16"/>
                <w:szCs w:val="16"/>
              </w:rPr>
            </w:pPr>
            <w:proofErr w:type="gramStart"/>
            <w:r w:rsidRPr="00A37C23">
              <w:rPr>
                <w:sz w:val="16"/>
                <w:szCs w:val="16"/>
              </w:rPr>
              <w:t>p</w:t>
            </w:r>
            <w:proofErr w:type="gramEnd"/>
            <w:r w:rsidRPr="00A37C23">
              <w:rPr>
                <w:sz w:val="16"/>
                <w:szCs w:val="16"/>
              </w:rPr>
              <w:t>-sinefrin (50 mg/gün)+naringin (600 mg/gün)+hesperidin 1000 mg/gün)</w:t>
            </w:r>
          </w:p>
        </w:tc>
        <w:tc>
          <w:tcPr>
            <w:tcW w:w="2977" w:type="dxa"/>
          </w:tcPr>
          <w:p w:rsidR="00A37C23" w:rsidRPr="00A37C23" w:rsidRDefault="00A37C23" w:rsidP="00A37C23">
            <w:pPr>
              <w:rPr>
                <w:sz w:val="16"/>
                <w:szCs w:val="16"/>
              </w:rPr>
            </w:pPr>
            <w:r w:rsidRPr="00A37C23">
              <w:rPr>
                <w:sz w:val="16"/>
                <w:szCs w:val="16"/>
              </w:rPr>
              <w:t>5x10 birey</w:t>
            </w:r>
          </w:p>
        </w:tc>
        <w:tc>
          <w:tcPr>
            <w:tcW w:w="4536" w:type="dxa"/>
          </w:tcPr>
          <w:p w:rsidR="00A37C23" w:rsidRPr="00A37C23" w:rsidRDefault="00A37C23" w:rsidP="00A37C23">
            <w:pPr>
              <w:rPr>
                <w:sz w:val="16"/>
                <w:szCs w:val="16"/>
              </w:rPr>
            </w:pPr>
            <w:r w:rsidRPr="00A37C23">
              <w:rPr>
                <w:sz w:val="16"/>
                <w:szCs w:val="16"/>
              </w:rPr>
              <w:t>Tüm gruplar:</w:t>
            </w:r>
          </w:p>
          <w:p w:rsidR="00A37C23" w:rsidRPr="00A37C23" w:rsidRDefault="00A37C23" w:rsidP="00A37C23">
            <w:pPr>
              <w:rPr>
                <w:sz w:val="16"/>
                <w:szCs w:val="16"/>
              </w:rPr>
            </w:pPr>
            <w:r w:rsidRPr="00A37C23">
              <w:rPr>
                <w:sz w:val="16"/>
                <w:szCs w:val="16"/>
              </w:rPr>
              <w:t>Kalp atım hızı →</w:t>
            </w:r>
          </w:p>
          <w:p w:rsidR="00A37C23" w:rsidRPr="00A37C23" w:rsidRDefault="00A37C23" w:rsidP="00A37C23">
            <w:pPr>
              <w:rPr>
                <w:sz w:val="16"/>
                <w:szCs w:val="16"/>
              </w:rPr>
            </w:pPr>
            <w:r w:rsidRPr="00A37C23">
              <w:rPr>
                <w:sz w:val="16"/>
                <w:szCs w:val="16"/>
              </w:rPr>
              <w:t>Kan basıncı →</w:t>
            </w:r>
          </w:p>
          <w:p w:rsidR="00A37C23" w:rsidRPr="00A37C23" w:rsidRDefault="00A37C23" w:rsidP="00A37C23">
            <w:pPr>
              <w:rPr>
                <w:sz w:val="16"/>
                <w:szCs w:val="16"/>
              </w:rPr>
            </w:pPr>
          </w:p>
          <w:p w:rsidR="00A37C23" w:rsidRPr="00A37C23" w:rsidRDefault="00A37C23" w:rsidP="00A37C23">
            <w:pPr>
              <w:rPr>
                <w:sz w:val="16"/>
                <w:szCs w:val="16"/>
              </w:rPr>
            </w:pPr>
            <w:proofErr w:type="gramStart"/>
            <w:r w:rsidRPr="00A37C23">
              <w:rPr>
                <w:sz w:val="16"/>
                <w:szCs w:val="16"/>
              </w:rPr>
              <w:t>p</w:t>
            </w:r>
            <w:proofErr w:type="gramEnd"/>
            <w:r w:rsidRPr="00A37C23">
              <w:rPr>
                <w:sz w:val="16"/>
                <w:szCs w:val="16"/>
              </w:rPr>
              <w:t>-sinefrin (50 mg/gün)+naringin (600 mg/gün) verilen grup:</w:t>
            </w:r>
          </w:p>
          <w:p w:rsidR="00A37C23" w:rsidRPr="00A37C23" w:rsidRDefault="00A37C23" w:rsidP="00A37C23">
            <w:pPr>
              <w:rPr>
                <w:sz w:val="16"/>
                <w:szCs w:val="16"/>
              </w:rPr>
            </w:pPr>
            <w:r w:rsidRPr="00A37C23">
              <w:rPr>
                <w:sz w:val="16"/>
                <w:szCs w:val="16"/>
              </w:rPr>
              <w:t>metabolik hız ↑</w:t>
            </w:r>
          </w:p>
          <w:p w:rsidR="00A37C23" w:rsidRPr="00A37C23" w:rsidRDefault="00A37C23" w:rsidP="00A37C23">
            <w:pPr>
              <w:rPr>
                <w:sz w:val="16"/>
                <w:szCs w:val="16"/>
              </w:rPr>
            </w:pPr>
          </w:p>
        </w:tc>
        <w:tc>
          <w:tcPr>
            <w:tcW w:w="2268" w:type="dxa"/>
          </w:tcPr>
          <w:p w:rsidR="00A37C23" w:rsidRPr="00A37C23" w:rsidRDefault="00A37C23" w:rsidP="00A37C23">
            <w:pPr>
              <w:rPr>
                <w:sz w:val="16"/>
                <w:szCs w:val="16"/>
              </w:rPr>
            </w:pPr>
            <w:r w:rsidRPr="00A37C23">
              <w:rPr>
                <w:sz w:val="16"/>
                <w:szCs w:val="16"/>
              </w:rPr>
              <w:t>(Stohs ve diğerleri, 2011)</w:t>
            </w:r>
          </w:p>
        </w:tc>
      </w:tr>
      <w:tr w:rsidR="00A37C23" w:rsidRPr="00A37C23" w:rsidTr="002773F1">
        <w:trPr>
          <w:trHeight w:val="564"/>
        </w:trPr>
        <w:tc>
          <w:tcPr>
            <w:tcW w:w="1985" w:type="dxa"/>
          </w:tcPr>
          <w:p w:rsidR="00A37C23" w:rsidRPr="00A37C23" w:rsidRDefault="00A37C23" w:rsidP="00A37C23">
            <w:pPr>
              <w:rPr>
                <w:sz w:val="16"/>
                <w:szCs w:val="16"/>
              </w:rPr>
            </w:pPr>
            <w:r w:rsidRPr="00A37C23">
              <w:rPr>
                <w:sz w:val="16"/>
                <w:szCs w:val="16"/>
              </w:rPr>
              <w:t>TE-Vitamin C-Vitamin E</w:t>
            </w:r>
          </w:p>
        </w:tc>
        <w:tc>
          <w:tcPr>
            <w:tcW w:w="4536" w:type="dxa"/>
          </w:tcPr>
          <w:p w:rsidR="00A37C23" w:rsidRPr="00A37C23" w:rsidRDefault="00A37C23" w:rsidP="00A37C23">
            <w:pPr>
              <w:rPr>
                <w:sz w:val="16"/>
                <w:szCs w:val="16"/>
              </w:rPr>
            </w:pPr>
            <w:r w:rsidRPr="00A37C23">
              <w:rPr>
                <w:sz w:val="16"/>
                <w:szCs w:val="16"/>
              </w:rPr>
              <w:t>2 ay (çapraz çalışma)</w:t>
            </w:r>
          </w:p>
          <w:p w:rsidR="00A37C23" w:rsidRPr="00A37C23" w:rsidRDefault="00A37C23" w:rsidP="00A37C23">
            <w:pPr>
              <w:rPr>
                <w:sz w:val="16"/>
                <w:szCs w:val="16"/>
              </w:rPr>
            </w:pPr>
            <w:r w:rsidRPr="00A37C23">
              <w:rPr>
                <w:sz w:val="16"/>
                <w:szCs w:val="16"/>
              </w:rPr>
              <w:t>Placebo</w:t>
            </w:r>
          </w:p>
          <w:p w:rsidR="00A37C23" w:rsidRPr="00A37C23" w:rsidRDefault="00A37C23" w:rsidP="00A37C23">
            <w:pPr>
              <w:rPr>
                <w:sz w:val="16"/>
                <w:szCs w:val="16"/>
              </w:rPr>
            </w:pPr>
            <w:r w:rsidRPr="00A37C23">
              <w:rPr>
                <w:sz w:val="16"/>
                <w:szCs w:val="16"/>
              </w:rPr>
              <w:t>Vitamin C (2x500 mg)</w:t>
            </w:r>
          </w:p>
          <w:p w:rsidR="00A37C23" w:rsidRPr="00A37C23" w:rsidRDefault="00A37C23" w:rsidP="00A37C23">
            <w:pPr>
              <w:rPr>
                <w:sz w:val="16"/>
                <w:szCs w:val="16"/>
              </w:rPr>
            </w:pPr>
            <w:r w:rsidRPr="00A37C23">
              <w:rPr>
                <w:sz w:val="16"/>
                <w:szCs w:val="16"/>
              </w:rPr>
              <w:t>Vitamin E (2x400 IU/gün)</w:t>
            </w:r>
          </w:p>
          <w:p w:rsidR="00A37C23" w:rsidRPr="00A37C23" w:rsidRDefault="00A37C23" w:rsidP="00A37C23">
            <w:pPr>
              <w:rPr>
                <w:sz w:val="16"/>
                <w:szCs w:val="16"/>
              </w:rPr>
            </w:pPr>
            <w:r w:rsidRPr="00A37C23">
              <w:rPr>
                <w:sz w:val="16"/>
                <w:szCs w:val="16"/>
              </w:rPr>
              <w:t xml:space="preserve">Vitamin C </w:t>
            </w:r>
            <w:proofErr w:type="gramStart"/>
            <w:r w:rsidRPr="00A37C23">
              <w:rPr>
                <w:sz w:val="16"/>
                <w:szCs w:val="16"/>
              </w:rPr>
              <w:t>(</w:t>
            </w:r>
            <w:proofErr w:type="gramEnd"/>
            <w:r w:rsidRPr="00A37C23">
              <w:rPr>
                <w:sz w:val="16"/>
                <w:szCs w:val="16"/>
              </w:rPr>
              <w:t>3x330 mg + TE (3x 900 mg TE)</w:t>
            </w:r>
          </w:p>
        </w:tc>
        <w:tc>
          <w:tcPr>
            <w:tcW w:w="2977" w:type="dxa"/>
          </w:tcPr>
          <w:p w:rsidR="00A37C23" w:rsidRPr="00A37C23" w:rsidRDefault="00A37C23" w:rsidP="00A37C23">
            <w:pPr>
              <w:rPr>
                <w:sz w:val="16"/>
                <w:szCs w:val="16"/>
              </w:rPr>
            </w:pPr>
            <w:r w:rsidRPr="00A37C23">
              <w:rPr>
                <w:sz w:val="16"/>
                <w:szCs w:val="16"/>
              </w:rPr>
              <w:t>26 hiperkolesterolemik ve sağlıklı birey (53±10 yaş)</w:t>
            </w:r>
          </w:p>
        </w:tc>
        <w:tc>
          <w:tcPr>
            <w:tcW w:w="4536" w:type="dxa"/>
          </w:tcPr>
          <w:p w:rsidR="00A37C23" w:rsidRPr="00A37C23" w:rsidRDefault="00A37C23" w:rsidP="00A37C23">
            <w:pPr>
              <w:rPr>
                <w:sz w:val="16"/>
                <w:szCs w:val="16"/>
              </w:rPr>
            </w:pPr>
            <w:r w:rsidRPr="00A37C23">
              <w:rPr>
                <w:sz w:val="16"/>
                <w:szCs w:val="16"/>
              </w:rPr>
              <w:t>TE + Vitamin C:</w:t>
            </w:r>
          </w:p>
          <w:p w:rsidR="00A37C23" w:rsidRPr="00A37C23" w:rsidRDefault="00A37C23" w:rsidP="00A37C23">
            <w:pPr>
              <w:rPr>
                <w:sz w:val="16"/>
                <w:szCs w:val="16"/>
              </w:rPr>
            </w:pPr>
            <w:r w:rsidRPr="00A37C23">
              <w:rPr>
                <w:sz w:val="16"/>
                <w:szCs w:val="16"/>
              </w:rPr>
              <w:t>Trigliserit ↓</w:t>
            </w:r>
          </w:p>
          <w:p w:rsidR="00A37C23" w:rsidRPr="00A37C23" w:rsidRDefault="00A37C23" w:rsidP="00A37C23">
            <w:pPr>
              <w:rPr>
                <w:sz w:val="16"/>
                <w:szCs w:val="16"/>
              </w:rPr>
            </w:pPr>
            <w:r w:rsidRPr="00A37C23">
              <w:rPr>
                <w:sz w:val="16"/>
                <w:szCs w:val="16"/>
              </w:rPr>
              <w:t>Lipoprotein oksidasyonunda gecikme</w:t>
            </w:r>
          </w:p>
        </w:tc>
        <w:tc>
          <w:tcPr>
            <w:tcW w:w="2268" w:type="dxa"/>
          </w:tcPr>
          <w:p w:rsidR="00A37C23" w:rsidRPr="00A37C23" w:rsidRDefault="00F520A5" w:rsidP="00A37C23">
            <w:pPr>
              <w:rPr>
                <w:sz w:val="16"/>
                <w:szCs w:val="16"/>
              </w:rPr>
            </w:pPr>
            <w:sdt>
              <w:sdtPr>
                <w:rPr>
                  <w:sz w:val="16"/>
                  <w:szCs w:val="16"/>
                </w:rPr>
                <w:id w:val="-1702774336"/>
                <w:citation/>
              </w:sdtPr>
              <w:sdtEndPr/>
              <w:sdtContent>
                <w:r w:rsidR="00A37C23" w:rsidRPr="00A37C23">
                  <w:rPr>
                    <w:sz w:val="16"/>
                    <w:szCs w:val="16"/>
                  </w:rPr>
                  <w:fldChar w:fldCharType="begin"/>
                </w:r>
                <w:r w:rsidR="00A37C23" w:rsidRPr="00A37C23">
                  <w:rPr>
                    <w:sz w:val="16"/>
                    <w:szCs w:val="16"/>
                  </w:rPr>
                  <w:instrText xml:space="preserve"> CITATION Joe01 \l 1055 </w:instrText>
                </w:r>
                <w:r w:rsidR="00A37C23" w:rsidRPr="00A37C23">
                  <w:rPr>
                    <w:sz w:val="16"/>
                    <w:szCs w:val="16"/>
                  </w:rPr>
                  <w:fldChar w:fldCharType="separate"/>
                </w:r>
                <w:r w:rsidR="00A37C23" w:rsidRPr="00A37C23">
                  <w:rPr>
                    <w:sz w:val="16"/>
                    <w:szCs w:val="16"/>
                  </w:rPr>
                  <w:t>(Vinson &amp; Jang, 2001)</w:t>
                </w:r>
                <w:r w:rsidR="00A37C23" w:rsidRPr="00A37C23">
                  <w:rPr>
                    <w:sz w:val="16"/>
                    <w:szCs w:val="16"/>
                  </w:rPr>
                  <w:fldChar w:fldCharType="end"/>
                </w:r>
              </w:sdtContent>
            </w:sdt>
            <w:r w:rsidR="00A37C23" w:rsidRPr="00A37C23">
              <w:rPr>
                <w:sz w:val="16"/>
                <w:szCs w:val="16"/>
              </w:rPr>
              <w:t>.</w:t>
            </w:r>
          </w:p>
          <w:p w:rsidR="00A37C23" w:rsidRPr="00A37C23" w:rsidRDefault="00A37C23" w:rsidP="00A37C23">
            <w:pPr>
              <w:rPr>
                <w:sz w:val="16"/>
                <w:szCs w:val="16"/>
              </w:rPr>
            </w:pPr>
          </w:p>
          <w:p w:rsidR="00A37C23" w:rsidRPr="00A37C23" w:rsidRDefault="00A37C23" w:rsidP="00A37C23">
            <w:pPr>
              <w:rPr>
                <w:sz w:val="16"/>
                <w:szCs w:val="16"/>
              </w:rPr>
            </w:pPr>
          </w:p>
        </w:tc>
      </w:tr>
    </w:tbl>
    <w:p w:rsidR="00A37C23" w:rsidRPr="00A37C23" w:rsidRDefault="00A37C23" w:rsidP="003D59D1">
      <w:pPr>
        <w:tabs>
          <w:tab w:val="left" w:pos="851"/>
        </w:tabs>
        <w:spacing w:before="120" w:after="60"/>
        <w:jc w:val="both"/>
        <w:rPr>
          <w:sz w:val="22"/>
          <w:szCs w:val="22"/>
        </w:rPr>
        <w:sectPr w:rsidR="00A37C23" w:rsidRPr="00A37C23" w:rsidSect="00A37C23">
          <w:pgSz w:w="16838" w:h="11906" w:orient="landscape" w:code="9"/>
          <w:pgMar w:top="1418" w:right="1418" w:bottom="1418" w:left="1418" w:header="709" w:footer="709" w:gutter="0"/>
          <w:cols w:space="284"/>
          <w:docGrid w:linePitch="360"/>
        </w:sectPr>
      </w:pPr>
    </w:p>
    <w:p w:rsidR="003D59D1" w:rsidRPr="003D59D1" w:rsidRDefault="003D59D1" w:rsidP="003D59D1">
      <w:pPr>
        <w:spacing w:before="120" w:after="60"/>
        <w:rPr>
          <w:sz w:val="26"/>
          <w:szCs w:val="26"/>
        </w:rPr>
      </w:pPr>
      <w:r w:rsidRPr="003D59D1">
        <w:rPr>
          <w:b/>
          <w:sz w:val="26"/>
          <w:szCs w:val="26"/>
        </w:rPr>
        <w:lastRenderedPageBreak/>
        <w:t>Sonuç</w:t>
      </w:r>
    </w:p>
    <w:p w:rsidR="003D59D1" w:rsidRPr="00E0036B" w:rsidRDefault="003D59D1" w:rsidP="003D59D1">
      <w:pPr>
        <w:tabs>
          <w:tab w:val="left" w:pos="851"/>
        </w:tabs>
        <w:jc w:val="both"/>
      </w:pPr>
      <w:r w:rsidRPr="00E0036B">
        <w:t xml:space="preserve">Turunçgiller, iyi bir C vitamini kaynağı olarak bilinmesinin yanısıra lif, potasyum, folat, karotenoidler, flavonoidler gibi çeşitli fitokimyasallar bakımından da iyi kaynaklardır ve bu bileşenlerin miktarları turunçgil çeşidine, olgunluğuna, saklama koşullarına, işleme yöntemlerine göre değişkenlik gösterebilmektedir. Turunçgillerin sağlık üzerine olumlu etkileriyle öne çıkan bileşenleri naringin ve hesperidin flavonoidleridir. Hipertansiyon, hiperglisemi, dislipidemi, protrombotik ve proinflamatuvar faktörler, MeS risk faktörleri arasındadır. Turunçgil flavanoidlerinin hiperglisemi, hiperlipidemi, hipertansiyon ve vücut ağırlığı denetimi üzerine olumlu etkileri ile anti-inflamatuvar ve antioksidan etkileri söz konusudur. Literatürde, turunçgil flavonoid ekstraktlarının kullanıldığı hayvan araştırmaları ve turunçgil tüketiminin dislipidemik etkileriyle ilgili insan araştırmaları öne çıkmaktadır. Bu nedenle günlük beslenme planında turunçgil tüketimi ve metabolik </w:t>
      </w:r>
      <w:proofErr w:type="gramStart"/>
      <w:r w:rsidRPr="00E0036B">
        <w:t>sendromla</w:t>
      </w:r>
      <w:proofErr w:type="gramEnd"/>
      <w:r w:rsidRPr="00E0036B">
        <w:t xml:space="preserve"> ilgili önerilerin geliştirilebilmesi için bu konuda daha fazla epidemiyolojik ve deneysel araştırmalar gereklidir.</w:t>
      </w:r>
    </w:p>
    <w:p w:rsidR="001E6087" w:rsidRDefault="003D59D1" w:rsidP="001E6087">
      <w:pPr>
        <w:autoSpaceDE w:val="0"/>
        <w:autoSpaceDN w:val="0"/>
        <w:adjustRightInd w:val="0"/>
        <w:spacing w:before="120" w:after="60"/>
        <w:jc w:val="both"/>
        <w:rPr>
          <w:b/>
          <w:sz w:val="26"/>
          <w:szCs w:val="26"/>
          <w:lang w:eastAsia="tr-TR"/>
        </w:rPr>
      </w:pPr>
      <w:r>
        <w:rPr>
          <w:b/>
          <w:sz w:val="26"/>
          <w:szCs w:val="26"/>
          <w:lang w:eastAsia="tr-TR"/>
        </w:rPr>
        <w:t>Kaynaklar</w:t>
      </w:r>
    </w:p>
    <w:p w:rsidR="003D59D1" w:rsidRDefault="003D59D1" w:rsidP="003D59D1">
      <w:pPr>
        <w:tabs>
          <w:tab w:val="left" w:pos="2127"/>
        </w:tabs>
        <w:spacing w:before="120" w:after="60"/>
        <w:ind w:left="567" w:hanging="567"/>
        <w:jc w:val="both"/>
        <w:rPr>
          <w:sz w:val="22"/>
          <w:szCs w:val="22"/>
        </w:rPr>
      </w:pPr>
      <w:r>
        <w:rPr>
          <w:sz w:val="22"/>
          <w:szCs w:val="22"/>
        </w:rPr>
        <w:t>Alam, M.A</w:t>
      </w:r>
      <w:proofErr w:type="gramStart"/>
      <w:r>
        <w:rPr>
          <w:sz w:val="22"/>
          <w:szCs w:val="22"/>
        </w:rPr>
        <w:t>.,</w:t>
      </w:r>
      <w:proofErr w:type="gramEnd"/>
      <w:r>
        <w:rPr>
          <w:sz w:val="22"/>
          <w:szCs w:val="22"/>
        </w:rPr>
        <w:t xml:space="preserve"> Subhan, N., Rahman, M.</w:t>
      </w:r>
      <w:r w:rsidRPr="00E0036B">
        <w:rPr>
          <w:sz w:val="22"/>
          <w:szCs w:val="22"/>
        </w:rPr>
        <w:t>M., Ud</w:t>
      </w:r>
      <w:r>
        <w:rPr>
          <w:sz w:val="22"/>
          <w:szCs w:val="22"/>
        </w:rPr>
        <w:t>din, S.J., Reza, H.</w:t>
      </w:r>
      <w:r w:rsidRPr="00E0036B">
        <w:rPr>
          <w:sz w:val="22"/>
          <w:szCs w:val="22"/>
        </w:rPr>
        <w:t>M. &amp; Sarke</w:t>
      </w:r>
      <w:r>
        <w:rPr>
          <w:sz w:val="22"/>
          <w:szCs w:val="22"/>
        </w:rPr>
        <w:t>r, S.</w:t>
      </w:r>
      <w:r w:rsidRPr="00E0036B">
        <w:rPr>
          <w:sz w:val="22"/>
          <w:szCs w:val="22"/>
        </w:rPr>
        <w:t xml:space="preserve">D. (2014). Effect of citrus flavonoids, naringin and naringenin, on metabolic syndrome and their mechanisms of action. </w:t>
      </w:r>
      <w:r w:rsidRPr="00E0036B">
        <w:rPr>
          <w:i/>
          <w:iCs/>
          <w:sz w:val="22"/>
          <w:szCs w:val="22"/>
        </w:rPr>
        <w:t xml:space="preserve">Advances in Nutrition, </w:t>
      </w:r>
      <w:r w:rsidRPr="003D59D1">
        <w:rPr>
          <w:iCs/>
          <w:sz w:val="22"/>
          <w:szCs w:val="22"/>
        </w:rPr>
        <w:t>5,</w:t>
      </w:r>
      <w:r w:rsidRPr="00E0036B">
        <w:rPr>
          <w:i/>
          <w:iCs/>
          <w:sz w:val="22"/>
          <w:szCs w:val="22"/>
        </w:rPr>
        <w:t xml:space="preserve"> </w:t>
      </w:r>
      <w:r w:rsidRPr="00E0036B">
        <w:rPr>
          <w:sz w:val="22"/>
          <w:szCs w:val="22"/>
        </w:rPr>
        <w:t xml:space="preserve">404-417.      </w:t>
      </w:r>
    </w:p>
    <w:p w:rsidR="003D59D1" w:rsidRDefault="00A06540" w:rsidP="003D59D1">
      <w:pPr>
        <w:tabs>
          <w:tab w:val="left" w:pos="2127"/>
        </w:tabs>
        <w:spacing w:before="120" w:after="60"/>
        <w:ind w:left="567" w:hanging="567"/>
        <w:jc w:val="both"/>
        <w:rPr>
          <w:sz w:val="22"/>
          <w:szCs w:val="22"/>
        </w:rPr>
      </w:pPr>
      <w:r>
        <w:rPr>
          <w:sz w:val="22"/>
          <w:szCs w:val="22"/>
        </w:rPr>
        <w:t>Aptekmann, N.P. &amp; Cesar, T.</w:t>
      </w:r>
      <w:r w:rsidR="003D59D1" w:rsidRPr="00E0036B">
        <w:rPr>
          <w:sz w:val="22"/>
          <w:szCs w:val="22"/>
        </w:rPr>
        <w:t xml:space="preserve">B. (2013). Long-term orange juice consumption is associated with low LDL-cholesterol and apolipoprotein B in normal and moderately hypercholesterolemic subjects. </w:t>
      </w:r>
      <w:r w:rsidR="003D59D1" w:rsidRPr="00E0036B">
        <w:rPr>
          <w:i/>
          <w:iCs/>
          <w:sz w:val="22"/>
          <w:szCs w:val="22"/>
        </w:rPr>
        <w:t>Lipids in Health and Disease,</w:t>
      </w:r>
      <w:r w:rsidR="003D59D1" w:rsidRPr="003D59D1">
        <w:rPr>
          <w:sz w:val="22"/>
          <w:szCs w:val="22"/>
        </w:rPr>
        <w:t>12,</w:t>
      </w:r>
      <w:r w:rsidR="003D59D1" w:rsidRPr="00E0036B">
        <w:rPr>
          <w:i/>
          <w:sz w:val="22"/>
          <w:szCs w:val="22"/>
        </w:rPr>
        <w:t xml:space="preserve"> </w:t>
      </w:r>
      <w:r w:rsidR="003D59D1" w:rsidRPr="00E0036B">
        <w:rPr>
          <w:sz w:val="22"/>
          <w:szCs w:val="22"/>
        </w:rPr>
        <w:t>119.</w:t>
      </w:r>
      <w:r w:rsidR="003D59D1">
        <w:rPr>
          <w:sz w:val="22"/>
          <w:szCs w:val="22"/>
        </w:rPr>
        <w:t xml:space="preserve">   </w:t>
      </w:r>
    </w:p>
    <w:p w:rsidR="003D59D1" w:rsidRDefault="003D59D1" w:rsidP="003D59D1">
      <w:pPr>
        <w:tabs>
          <w:tab w:val="left" w:pos="2127"/>
        </w:tabs>
        <w:spacing w:before="120" w:after="60"/>
        <w:ind w:left="567" w:hanging="567"/>
        <w:jc w:val="both"/>
        <w:rPr>
          <w:sz w:val="22"/>
          <w:szCs w:val="22"/>
        </w:rPr>
      </w:pPr>
      <w:r w:rsidRPr="00E0036B">
        <w:rPr>
          <w:sz w:val="22"/>
          <w:szCs w:val="22"/>
        </w:rPr>
        <w:t>Arslan, M</w:t>
      </w:r>
      <w:proofErr w:type="gramStart"/>
      <w:r w:rsidRPr="00E0036B">
        <w:rPr>
          <w:sz w:val="22"/>
          <w:szCs w:val="22"/>
        </w:rPr>
        <w:t>.,</w:t>
      </w:r>
      <w:proofErr w:type="gramEnd"/>
      <w:r w:rsidRPr="00E0036B">
        <w:rPr>
          <w:sz w:val="22"/>
          <w:szCs w:val="22"/>
        </w:rPr>
        <w:t xml:space="preserve"> Atmaca, A., Ayvaz, G., Başkal, N., Beyhan, Z., Bolu, E., Can, S., Çorakçı, A., Dağdelen, S., Demirağ, G.N., Demirer, A.N., Erbaş, T., Gürsoy, A., Güllü, S., Ilgın, Ş.D., Karakoç, A., Kulaksızoğlu, M., Şahin, M., Tanacı, N., Törüner, F., Tütüncü, N.B., Üçkaya, G., Yetkin, İ. &amp; Yılmaz, M. (2009). </w:t>
      </w:r>
      <w:proofErr w:type="gramStart"/>
      <w:r w:rsidRPr="00E0036B">
        <w:rPr>
          <w:sz w:val="22"/>
          <w:szCs w:val="22"/>
        </w:rPr>
        <w:t xml:space="preserve">Türkiye Endokrinoloji ve Metabolizma Derneği. </w:t>
      </w:r>
      <w:proofErr w:type="gramEnd"/>
      <w:r w:rsidRPr="00E0036B">
        <w:rPr>
          <w:sz w:val="22"/>
          <w:szCs w:val="22"/>
        </w:rPr>
        <w:t>Metabolik Sendrom Kılav</w:t>
      </w:r>
      <w:r w:rsidR="00A06540">
        <w:rPr>
          <w:sz w:val="22"/>
          <w:szCs w:val="22"/>
        </w:rPr>
        <w:t xml:space="preserve">uzu. </w:t>
      </w:r>
      <w:proofErr w:type="gramStart"/>
      <w:r w:rsidR="00A06540">
        <w:rPr>
          <w:sz w:val="22"/>
          <w:szCs w:val="22"/>
        </w:rPr>
        <w:t>Ankara: Tuna Matbaacılık.</w:t>
      </w:r>
      <w:r w:rsidRPr="00E0036B">
        <w:rPr>
          <w:sz w:val="22"/>
          <w:szCs w:val="22"/>
        </w:rPr>
        <w:t xml:space="preserve"> </w:t>
      </w:r>
      <w:proofErr w:type="gramEnd"/>
    </w:p>
    <w:p w:rsidR="003D59D1" w:rsidRDefault="003D59D1" w:rsidP="003D59D1">
      <w:pPr>
        <w:tabs>
          <w:tab w:val="left" w:pos="2127"/>
        </w:tabs>
        <w:spacing w:before="120" w:after="60"/>
        <w:ind w:left="567" w:hanging="567"/>
        <w:jc w:val="both"/>
        <w:rPr>
          <w:sz w:val="22"/>
          <w:szCs w:val="22"/>
        </w:rPr>
      </w:pPr>
      <w:r w:rsidRPr="00E0036B">
        <w:rPr>
          <w:sz w:val="22"/>
          <w:szCs w:val="22"/>
        </w:rPr>
        <w:t xml:space="preserve">Asgary, S. &amp; Keshvari, M. (2013). Effects of citrus sinensis juice on blood </w:t>
      </w:r>
      <w:proofErr w:type="gramStart"/>
      <w:r w:rsidRPr="00E0036B">
        <w:rPr>
          <w:sz w:val="22"/>
          <w:szCs w:val="22"/>
        </w:rPr>
        <w:t>pressure .</w:t>
      </w:r>
      <w:proofErr w:type="gramEnd"/>
      <w:r w:rsidRPr="00E0036B">
        <w:rPr>
          <w:sz w:val="22"/>
          <w:szCs w:val="22"/>
        </w:rPr>
        <w:t xml:space="preserve"> </w:t>
      </w:r>
      <w:r w:rsidRPr="00E0036B">
        <w:rPr>
          <w:i/>
          <w:iCs/>
          <w:sz w:val="22"/>
          <w:szCs w:val="22"/>
        </w:rPr>
        <w:t xml:space="preserve">ARYA Atheroscler, </w:t>
      </w:r>
      <w:r w:rsidRPr="00A37C23">
        <w:rPr>
          <w:iCs/>
          <w:sz w:val="22"/>
          <w:szCs w:val="22"/>
        </w:rPr>
        <w:t>9(1),</w:t>
      </w:r>
      <w:r w:rsidRPr="00A37C23">
        <w:rPr>
          <w:sz w:val="22"/>
          <w:szCs w:val="22"/>
        </w:rPr>
        <w:t xml:space="preserve"> </w:t>
      </w:r>
      <w:r w:rsidRPr="00E0036B">
        <w:rPr>
          <w:sz w:val="22"/>
          <w:szCs w:val="22"/>
        </w:rPr>
        <w:t xml:space="preserve">98-101.      </w:t>
      </w:r>
    </w:p>
    <w:p w:rsidR="003D59D1" w:rsidRDefault="00A06540" w:rsidP="003D59D1">
      <w:pPr>
        <w:tabs>
          <w:tab w:val="left" w:pos="2127"/>
        </w:tabs>
        <w:spacing w:before="120" w:after="60"/>
        <w:ind w:left="567" w:hanging="567"/>
        <w:jc w:val="both"/>
        <w:rPr>
          <w:sz w:val="22"/>
          <w:szCs w:val="22"/>
        </w:rPr>
      </w:pPr>
      <w:r>
        <w:rPr>
          <w:sz w:val="22"/>
          <w:szCs w:val="22"/>
        </w:rPr>
        <w:t>Assini, J.M</w:t>
      </w:r>
      <w:proofErr w:type="gramStart"/>
      <w:r>
        <w:rPr>
          <w:sz w:val="22"/>
          <w:szCs w:val="22"/>
        </w:rPr>
        <w:t>.,</w:t>
      </w:r>
      <w:proofErr w:type="gramEnd"/>
      <w:r>
        <w:rPr>
          <w:sz w:val="22"/>
          <w:szCs w:val="22"/>
        </w:rPr>
        <w:t xml:space="preserve"> Mulvihill, E.E. &amp; Huff, M.</w:t>
      </w:r>
      <w:r w:rsidR="003D59D1" w:rsidRPr="00E0036B">
        <w:rPr>
          <w:sz w:val="22"/>
          <w:szCs w:val="22"/>
        </w:rPr>
        <w:t xml:space="preserve">W. (2013). Citrus flavonoids and lipid metabolism. </w:t>
      </w:r>
      <w:r w:rsidR="003D59D1" w:rsidRPr="00E0036B">
        <w:rPr>
          <w:i/>
          <w:iCs/>
          <w:sz w:val="22"/>
          <w:szCs w:val="22"/>
        </w:rPr>
        <w:t xml:space="preserve">Curren Opinion in Lipidology, </w:t>
      </w:r>
      <w:r w:rsidR="003D59D1" w:rsidRPr="00A37C23">
        <w:rPr>
          <w:iCs/>
          <w:sz w:val="22"/>
          <w:szCs w:val="22"/>
        </w:rPr>
        <w:t>24(1),</w:t>
      </w:r>
      <w:r w:rsidR="003D59D1" w:rsidRPr="00E0036B">
        <w:rPr>
          <w:sz w:val="22"/>
          <w:szCs w:val="22"/>
        </w:rPr>
        <w:t xml:space="preserve"> 34-40.      </w:t>
      </w:r>
    </w:p>
    <w:p w:rsidR="003D59D1" w:rsidRDefault="00A06540" w:rsidP="003D59D1">
      <w:pPr>
        <w:tabs>
          <w:tab w:val="left" w:pos="2127"/>
        </w:tabs>
        <w:spacing w:before="120" w:after="60"/>
        <w:ind w:left="567" w:hanging="567"/>
        <w:jc w:val="both"/>
        <w:rPr>
          <w:sz w:val="22"/>
          <w:szCs w:val="22"/>
        </w:rPr>
      </w:pPr>
      <w:r>
        <w:rPr>
          <w:sz w:val="22"/>
          <w:szCs w:val="22"/>
        </w:rPr>
        <w:t>Assini, J.M</w:t>
      </w:r>
      <w:proofErr w:type="gramStart"/>
      <w:r>
        <w:rPr>
          <w:sz w:val="22"/>
          <w:szCs w:val="22"/>
        </w:rPr>
        <w:t>.,</w:t>
      </w:r>
      <w:proofErr w:type="gramEnd"/>
      <w:r>
        <w:rPr>
          <w:sz w:val="22"/>
          <w:szCs w:val="22"/>
        </w:rPr>
        <w:t xml:space="preserve"> Mulvihill, E.E., Sutherland, B.G., Telford, D.</w:t>
      </w:r>
      <w:r w:rsidR="003D59D1" w:rsidRPr="00E0036B">
        <w:rPr>
          <w:sz w:val="22"/>
          <w:szCs w:val="22"/>
        </w:rPr>
        <w:t>E., Saw</w:t>
      </w:r>
      <w:r>
        <w:rPr>
          <w:sz w:val="22"/>
          <w:szCs w:val="22"/>
        </w:rPr>
        <w:t>yez, C.G., Felder, S.</w:t>
      </w:r>
      <w:r w:rsidR="003D59D1" w:rsidRPr="00E0036B">
        <w:rPr>
          <w:sz w:val="22"/>
          <w:szCs w:val="22"/>
        </w:rPr>
        <w:t>L., Chhoker, S., Edw</w:t>
      </w:r>
      <w:r>
        <w:rPr>
          <w:sz w:val="22"/>
          <w:szCs w:val="22"/>
        </w:rPr>
        <w:t>ards, J.Y., Gros, Y. &amp; Huff, M.</w:t>
      </w:r>
      <w:r w:rsidR="003D59D1" w:rsidRPr="00E0036B">
        <w:rPr>
          <w:sz w:val="22"/>
          <w:szCs w:val="22"/>
        </w:rPr>
        <w:t xml:space="preserve">W. (2013). Naringenin prevents cholesterol-induced systemic infl ammation, metabolic dysregulation, and atherosclerosis in Ldlr / mice. </w:t>
      </w:r>
      <w:r w:rsidR="003D59D1" w:rsidRPr="00E0036B">
        <w:rPr>
          <w:i/>
          <w:iCs/>
          <w:sz w:val="22"/>
          <w:szCs w:val="22"/>
        </w:rPr>
        <w:t xml:space="preserve">Journal of Lipid Research, </w:t>
      </w:r>
      <w:r w:rsidR="003D59D1" w:rsidRPr="00A37C23">
        <w:rPr>
          <w:iCs/>
          <w:sz w:val="22"/>
          <w:szCs w:val="22"/>
        </w:rPr>
        <w:t>54(3),</w:t>
      </w:r>
      <w:r w:rsidR="003D59D1" w:rsidRPr="00A37C23">
        <w:rPr>
          <w:sz w:val="22"/>
          <w:szCs w:val="22"/>
        </w:rPr>
        <w:t xml:space="preserve"> </w:t>
      </w:r>
      <w:r w:rsidR="003D59D1" w:rsidRPr="00E0036B">
        <w:rPr>
          <w:sz w:val="22"/>
          <w:szCs w:val="22"/>
        </w:rPr>
        <w:t xml:space="preserve">711-724.      </w:t>
      </w:r>
    </w:p>
    <w:p w:rsidR="003D59D1" w:rsidRDefault="003D59D1" w:rsidP="003D59D1">
      <w:pPr>
        <w:tabs>
          <w:tab w:val="left" w:pos="2127"/>
        </w:tabs>
        <w:spacing w:before="120" w:after="60"/>
        <w:ind w:left="567" w:hanging="567"/>
        <w:jc w:val="both"/>
        <w:rPr>
          <w:sz w:val="22"/>
          <w:szCs w:val="22"/>
        </w:rPr>
      </w:pPr>
      <w:r w:rsidRPr="00E0036B">
        <w:rPr>
          <w:sz w:val="22"/>
          <w:szCs w:val="22"/>
        </w:rPr>
        <w:t>Choudhary, M</w:t>
      </w:r>
      <w:proofErr w:type="gramStart"/>
      <w:r w:rsidRPr="00E0036B">
        <w:rPr>
          <w:sz w:val="22"/>
          <w:szCs w:val="22"/>
        </w:rPr>
        <w:t>.,</w:t>
      </w:r>
      <w:proofErr w:type="gramEnd"/>
      <w:r w:rsidRPr="00E0036B">
        <w:rPr>
          <w:sz w:val="22"/>
          <w:szCs w:val="22"/>
        </w:rPr>
        <w:t xml:space="preserve"> &amp; Grover, K. (2012). Development of functional food products in relation to obesity. </w:t>
      </w:r>
      <w:r w:rsidRPr="00E0036B">
        <w:rPr>
          <w:i/>
          <w:iCs/>
          <w:sz w:val="22"/>
          <w:szCs w:val="22"/>
        </w:rPr>
        <w:t>Functional Foods in Health</w:t>
      </w:r>
      <w:r w:rsidRPr="00E0036B">
        <w:rPr>
          <w:sz w:val="22"/>
          <w:szCs w:val="22"/>
        </w:rPr>
        <w:t xml:space="preserve">, </w:t>
      </w:r>
      <w:r w:rsidRPr="00A37C23">
        <w:rPr>
          <w:sz w:val="22"/>
          <w:szCs w:val="22"/>
        </w:rPr>
        <w:t>2(6),</w:t>
      </w:r>
      <w:r w:rsidRPr="00E0036B">
        <w:rPr>
          <w:sz w:val="22"/>
          <w:szCs w:val="22"/>
        </w:rPr>
        <w:t xml:space="preserve"> 188-197.      </w:t>
      </w:r>
    </w:p>
    <w:p w:rsidR="003D59D1" w:rsidRDefault="003D59D1" w:rsidP="003D59D1">
      <w:pPr>
        <w:tabs>
          <w:tab w:val="left" w:pos="2127"/>
        </w:tabs>
        <w:spacing w:before="120" w:after="60"/>
        <w:ind w:left="567" w:hanging="567"/>
        <w:jc w:val="both"/>
        <w:rPr>
          <w:sz w:val="22"/>
          <w:szCs w:val="22"/>
        </w:rPr>
      </w:pPr>
      <w:r w:rsidRPr="00E0036B">
        <w:rPr>
          <w:sz w:val="22"/>
          <w:szCs w:val="22"/>
        </w:rPr>
        <w:t xml:space="preserve">Coşkun, T. (2005). Fonksiyonel besinlerin sağlığımız üzerine etkileri. </w:t>
      </w:r>
      <w:r w:rsidRPr="00E0036B">
        <w:rPr>
          <w:i/>
          <w:iCs/>
          <w:sz w:val="22"/>
          <w:szCs w:val="22"/>
        </w:rPr>
        <w:t xml:space="preserve">Çocuk Sağlığı Hastalıkları Dergisi, 48, </w:t>
      </w:r>
      <w:r w:rsidRPr="00E0036B">
        <w:rPr>
          <w:sz w:val="22"/>
          <w:szCs w:val="22"/>
        </w:rPr>
        <w:t>69-84.</w:t>
      </w:r>
    </w:p>
    <w:p w:rsidR="003D59D1" w:rsidRDefault="003D59D1" w:rsidP="003D59D1">
      <w:pPr>
        <w:tabs>
          <w:tab w:val="left" w:pos="2127"/>
        </w:tabs>
        <w:spacing w:before="120" w:after="60"/>
        <w:ind w:left="567" w:hanging="567"/>
        <w:jc w:val="both"/>
        <w:rPr>
          <w:sz w:val="22"/>
          <w:szCs w:val="22"/>
        </w:rPr>
      </w:pPr>
      <w:r w:rsidRPr="00E0036B">
        <w:rPr>
          <w:sz w:val="22"/>
          <w:szCs w:val="22"/>
        </w:rPr>
        <w:t>De</w:t>
      </w:r>
      <w:r w:rsidR="00A06540">
        <w:rPr>
          <w:sz w:val="22"/>
          <w:szCs w:val="22"/>
        </w:rPr>
        <w:t>monty, I</w:t>
      </w:r>
      <w:proofErr w:type="gramStart"/>
      <w:r w:rsidR="00A06540">
        <w:rPr>
          <w:sz w:val="22"/>
          <w:szCs w:val="22"/>
        </w:rPr>
        <w:t>.,</w:t>
      </w:r>
      <w:proofErr w:type="gramEnd"/>
      <w:r w:rsidR="00A06540">
        <w:rPr>
          <w:sz w:val="22"/>
          <w:szCs w:val="22"/>
        </w:rPr>
        <w:t xml:space="preserve"> Lin, Y., Zebregs, Y.</w:t>
      </w:r>
      <w:r w:rsidRPr="00E0036B">
        <w:rPr>
          <w:sz w:val="22"/>
          <w:szCs w:val="22"/>
        </w:rPr>
        <w:t xml:space="preserve">E., Vermeer, M. A., Knaap, H. C., Ja¨kel, M. &amp; Trautwein, E. A. (2010). The Citrus Flavonoids Hesperidin and Naringin Do Not Affect Serum Cholesterol in Moderately Hypercholesterolemic Men and Women. </w:t>
      </w:r>
      <w:r w:rsidRPr="00E0036B">
        <w:rPr>
          <w:i/>
          <w:iCs/>
          <w:sz w:val="22"/>
          <w:szCs w:val="22"/>
        </w:rPr>
        <w:t xml:space="preserve">Journal of Nutrition, </w:t>
      </w:r>
      <w:r w:rsidRPr="00A37C23">
        <w:rPr>
          <w:iCs/>
          <w:sz w:val="22"/>
          <w:szCs w:val="22"/>
        </w:rPr>
        <w:t>140,</w:t>
      </w:r>
      <w:r w:rsidRPr="00E0036B">
        <w:rPr>
          <w:i/>
          <w:iCs/>
          <w:sz w:val="22"/>
          <w:szCs w:val="22"/>
        </w:rPr>
        <w:t xml:space="preserve"> </w:t>
      </w:r>
      <w:r>
        <w:rPr>
          <w:sz w:val="22"/>
          <w:szCs w:val="22"/>
        </w:rPr>
        <w:t>1615-1620</w:t>
      </w:r>
    </w:p>
    <w:p w:rsidR="003D59D1" w:rsidRDefault="00A06540" w:rsidP="003D59D1">
      <w:pPr>
        <w:tabs>
          <w:tab w:val="left" w:pos="2127"/>
        </w:tabs>
        <w:spacing w:before="120" w:after="60"/>
        <w:ind w:left="567" w:hanging="567"/>
        <w:jc w:val="both"/>
        <w:rPr>
          <w:sz w:val="22"/>
          <w:szCs w:val="22"/>
        </w:rPr>
      </w:pPr>
      <w:r>
        <w:rPr>
          <w:sz w:val="22"/>
          <w:szCs w:val="22"/>
        </w:rPr>
        <w:t>El-Shafey, M.M. &amp; Abd-Ellah, M.</w:t>
      </w:r>
      <w:r w:rsidR="003D59D1" w:rsidRPr="00E0036B">
        <w:rPr>
          <w:sz w:val="22"/>
          <w:szCs w:val="22"/>
        </w:rPr>
        <w:t xml:space="preserve">F. (2014). Hesperidin Improves Lipid Profile and Attenuates Oxidative Stress in Hypercholesterolemic Rats. </w:t>
      </w:r>
      <w:r w:rsidR="003D59D1" w:rsidRPr="00E0036B">
        <w:rPr>
          <w:i/>
          <w:iCs/>
          <w:sz w:val="22"/>
          <w:szCs w:val="22"/>
        </w:rPr>
        <w:t xml:space="preserve">International Journal of Pharma Sciences, </w:t>
      </w:r>
      <w:r w:rsidR="003D59D1" w:rsidRPr="00A37C23">
        <w:rPr>
          <w:iCs/>
          <w:sz w:val="22"/>
          <w:szCs w:val="22"/>
        </w:rPr>
        <w:t>3,</w:t>
      </w:r>
      <w:r w:rsidR="003D59D1" w:rsidRPr="00A37C23">
        <w:rPr>
          <w:sz w:val="22"/>
          <w:szCs w:val="22"/>
        </w:rPr>
        <w:t xml:space="preserve"> </w:t>
      </w:r>
      <w:r w:rsidR="003D59D1" w:rsidRPr="00E0036B">
        <w:rPr>
          <w:sz w:val="22"/>
          <w:szCs w:val="22"/>
        </w:rPr>
        <w:t>554-559.</w:t>
      </w:r>
    </w:p>
    <w:p w:rsidR="003D59D1" w:rsidRDefault="003D59D1" w:rsidP="003D59D1">
      <w:pPr>
        <w:tabs>
          <w:tab w:val="left" w:pos="2127"/>
        </w:tabs>
        <w:spacing w:before="120" w:after="60"/>
        <w:ind w:left="567" w:hanging="567"/>
        <w:jc w:val="both"/>
        <w:rPr>
          <w:sz w:val="22"/>
          <w:szCs w:val="22"/>
        </w:rPr>
      </w:pPr>
      <w:r w:rsidRPr="00E0036B">
        <w:rPr>
          <w:sz w:val="22"/>
          <w:szCs w:val="22"/>
        </w:rPr>
        <w:t xml:space="preserve">Food and Agriculture Organisation of the United Nations. (2015). Citrus Fruit Statistics 2015. Retrieved from </w:t>
      </w:r>
      <w:hyperlink r:id="rId16" w:history="1">
        <w:r w:rsidRPr="00BF4FD8">
          <w:rPr>
            <w:rStyle w:val="Kpr"/>
            <w:sz w:val="22"/>
            <w:szCs w:val="22"/>
          </w:rPr>
          <w:t>http://www.fao.org/economic/est/est-commodities/citrus-fruit/en/</w:t>
        </w:r>
      </w:hyperlink>
      <w:r>
        <w:rPr>
          <w:sz w:val="22"/>
          <w:szCs w:val="22"/>
        </w:rPr>
        <w:t xml:space="preserve"> (</w:t>
      </w:r>
      <w:r w:rsidRPr="00E0036B">
        <w:rPr>
          <w:sz w:val="22"/>
          <w:szCs w:val="22"/>
        </w:rPr>
        <w:t xml:space="preserve">accessed 19.11.16) </w:t>
      </w:r>
    </w:p>
    <w:p w:rsidR="003D59D1" w:rsidRDefault="003D59D1" w:rsidP="003D59D1">
      <w:pPr>
        <w:tabs>
          <w:tab w:val="left" w:pos="2127"/>
        </w:tabs>
        <w:spacing w:before="120" w:after="60"/>
        <w:ind w:left="567" w:hanging="567"/>
        <w:jc w:val="both"/>
        <w:rPr>
          <w:sz w:val="22"/>
          <w:szCs w:val="22"/>
        </w:rPr>
      </w:pPr>
      <w:r w:rsidRPr="00E0036B">
        <w:rPr>
          <w:sz w:val="22"/>
          <w:szCs w:val="22"/>
        </w:rPr>
        <w:t>Fujioka, K</w:t>
      </w:r>
      <w:proofErr w:type="gramStart"/>
      <w:r w:rsidRPr="00E0036B">
        <w:rPr>
          <w:sz w:val="22"/>
          <w:szCs w:val="22"/>
        </w:rPr>
        <w:t>.,</w:t>
      </w:r>
      <w:proofErr w:type="gramEnd"/>
      <w:r w:rsidRPr="00E0036B">
        <w:rPr>
          <w:sz w:val="22"/>
          <w:szCs w:val="22"/>
        </w:rPr>
        <w:t xml:space="preserve"> Greenway, F., Sheard, J. &amp; Ying, Y. (2006). The effects of grapefruit on weight and insulin resistance: relationship to the metabolic syndrome. </w:t>
      </w:r>
      <w:r w:rsidRPr="00E0036B">
        <w:rPr>
          <w:i/>
          <w:iCs/>
          <w:sz w:val="22"/>
          <w:szCs w:val="22"/>
        </w:rPr>
        <w:t>Journal of Medicinal Food,</w:t>
      </w:r>
      <w:r w:rsidR="00A37C23">
        <w:rPr>
          <w:i/>
          <w:iCs/>
          <w:sz w:val="22"/>
          <w:szCs w:val="22"/>
        </w:rPr>
        <w:t xml:space="preserve"> </w:t>
      </w:r>
      <w:r w:rsidRPr="00A37C23">
        <w:rPr>
          <w:iCs/>
          <w:sz w:val="22"/>
          <w:szCs w:val="22"/>
        </w:rPr>
        <w:t>9(1)</w:t>
      </w:r>
      <w:r w:rsidRPr="00A37C23">
        <w:rPr>
          <w:sz w:val="22"/>
          <w:szCs w:val="22"/>
        </w:rPr>
        <w:t>,</w:t>
      </w:r>
      <w:r w:rsidRPr="00E0036B">
        <w:rPr>
          <w:sz w:val="22"/>
          <w:szCs w:val="22"/>
        </w:rPr>
        <w:t xml:space="preserve"> 49-54</w:t>
      </w:r>
      <w:r>
        <w:rPr>
          <w:sz w:val="22"/>
          <w:szCs w:val="22"/>
        </w:rPr>
        <w:t>.</w:t>
      </w:r>
    </w:p>
    <w:p w:rsidR="003D59D1" w:rsidRDefault="003D59D1" w:rsidP="003D59D1">
      <w:pPr>
        <w:tabs>
          <w:tab w:val="left" w:pos="2127"/>
        </w:tabs>
        <w:spacing w:before="120" w:after="60"/>
        <w:ind w:left="567" w:hanging="567"/>
        <w:jc w:val="both"/>
        <w:rPr>
          <w:sz w:val="22"/>
          <w:szCs w:val="22"/>
        </w:rPr>
      </w:pPr>
      <w:r w:rsidRPr="00E0036B">
        <w:rPr>
          <w:sz w:val="22"/>
          <w:szCs w:val="22"/>
        </w:rPr>
        <w:t>Fukuchi, Y</w:t>
      </w:r>
      <w:proofErr w:type="gramStart"/>
      <w:r w:rsidRPr="00E0036B">
        <w:rPr>
          <w:sz w:val="22"/>
          <w:szCs w:val="22"/>
        </w:rPr>
        <w:t>.,</w:t>
      </w:r>
      <w:proofErr w:type="gramEnd"/>
      <w:r w:rsidRPr="00E0036B">
        <w:rPr>
          <w:sz w:val="22"/>
          <w:szCs w:val="22"/>
        </w:rPr>
        <w:t xml:space="preserve"> Hiramitsu, M., Okada, M., Hayashi, S., Nabeno, Y., Osawa, T. &amp; Naito, M. (2008). Lemon Polyphenols Suppress Diet-induced Obesity by Up-Regulation of mRNA Levels of the Enzymes Involved in </w:t>
      </w:r>
      <w:r w:rsidRPr="00E0036B">
        <w:rPr>
          <w:sz w:val="22"/>
          <w:szCs w:val="22"/>
        </w:rPr>
        <w:lastRenderedPageBreak/>
        <w:t xml:space="preserve">β-Oxidation in Mouse White Adipose. </w:t>
      </w:r>
      <w:r w:rsidRPr="00E0036B">
        <w:rPr>
          <w:i/>
          <w:iCs/>
          <w:sz w:val="22"/>
          <w:szCs w:val="22"/>
        </w:rPr>
        <w:t xml:space="preserve">Journal of Clinical Biochemistry and Nutrition, </w:t>
      </w:r>
      <w:r w:rsidRPr="00A37C23">
        <w:rPr>
          <w:iCs/>
          <w:sz w:val="22"/>
          <w:szCs w:val="22"/>
        </w:rPr>
        <w:t>43(3),</w:t>
      </w:r>
      <w:r w:rsidRPr="00E0036B">
        <w:rPr>
          <w:sz w:val="22"/>
          <w:szCs w:val="22"/>
        </w:rPr>
        <w:t xml:space="preserve"> 201-209.</w:t>
      </w:r>
    </w:p>
    <w:p w:rsidR="003D59D1" w:rsidRDefault="003D59D1" w:rsidP="003D59D1">
      <w:pPr>
        <w:tabs>
          <w:tab w:val="left" w:pos="2127"/>
        </w:tabs>
        <w:spacing w:before="120" w:after="60"/>
        <w:ind w:left="567" w:hanging="567"/>
        <w:jc w:val="both"/>
        <w:rPr>
          <w:sz w:val="22"/>
          <w:szCs w:val="22"/>
        </w:rPr>
      </w:pPr>
      <w:r w:rsidRPr="00E0036B">
        <w:rPr>
          <w:sz w:val="22"/>
          <w:szCs w:val="22"/>
        </w:rPr>
        <w:t>Gattuso, G</w:t>
      </w:r>
      <w:proofErr w:type="gramStart"/>
      <w:r w:rsidRPr="00E0036B">
        <w:rPr>
          <w:sz w:val="22"/>
          <w:szCs w:val="22"/>
        </w:rPr>
        <w:t>.,</w:t>
      </w:r>
      <w:proofErr w:type="gramEnd"/>
      <w:r w:rsidRPr="00E0036B">
        <w:rPr>
          <w:sz w:val="22"/>
          <w:szCs w:val="22"/>
        </w:rPr>
        <w:t xml:space="preserve"> Barreca, D., Gargiulli, C., Leuzzi, U. &amp; Caristi, C. (2007). Flavonoid compisiton of citrus juices. </w:t>
      </w:r>
      <w:r w:rsidRPr="00E0036B">
        <w:rPr>
          <w:i/>
          <w:iCs/>
          <w:sz w:val="22"/>
          <w:szCs w:val="22"/>
        </w:rPr>
        <w:t xml:space="preserve">Molecules, </w:t>
      </w:r>
      <w:r w:rsidRPr="00A37C23">
        <w:rPr>
          <w:iCs/>
          <w:sz w:val="22"/>
          <w:szCs w:val="22"/>
        </w:rPr>
        <w:t>12(8),</w:t>
      </w:r>
      <w:r w:rsidRPr="00E0036B">
        <w:rPr>
          <w:sz w:val="22"/>
          <w:szCs w:val="22"/>
        </w:rPr>
        <w:t xml:space="preserve"> 1641-1673.</w:t>
      </w:r>
    </w:p>
    <w:p w:rsidR="003D59D1" w:rsidRDefault="00A06540" w:rsidP="003D59D1">
      <w:pPr>
        <w:tabs>
          <w:tab w:val="left" w:pos="2127"/>
        </w:tabs>
        <w:spacing w:before="120" w:after="60"/>
        <w:ind w:left="567" w:hanging="567"/>
        <w:jc w:val="both"/>
        <w:rPr>
          <w:sz w:val="22"/>
          <w:szCs w:val="22"/>
        </w:rPr>
      </w:pPr>
      <w:r>
        <w:rPr>
          <w:sz w:val="22"/>
          <w:szCs w:val="22"/>
        </w:rPr>
        <w:t>Huang, P.</w:t>
      </w:r>
      <w:r w:rsidR="003D59D1" w:rsidRPr="00E0036B">
        <w:rPr>
          <w:sz w:val="22"/>
          <w:szCs w:val="22"/>
        </w:rPr>
        <w:t xml:space="preserve">L. (2009). A comprehensive definition for metabolic syndrome. </w:t>
      </w:r>
      <w:r w:rsidR="003D59D1" w:rsidRPr="00E0036B">
        <w:rPr>
          <w:i/>
          <w:iCs/>
          <w:sz w:val="22"/>
          <w:szCs w:val="22"/>
        </w:rPr>
        <w:t xml:space="preserve">Disease Model Mechanisms, </w:t>
      </w:r>
      <w:r w:rsidR="003D59D1" w:rsidRPr="00A37C23">
        <w:rPr>
          <w:iCs/>
          <w:sz w:val="22"/>
          <w:szCs w:val="22"/>
        </w:rPr>
        <w:t>2(5-6),</w:t>
      </w:r>
      <w:r w:rsidR="003D59D1" w:rsidRPr="00E0036B">
        <w:rPr>
          <w:sz w:val="22"/>
          <w:szCs w:val="22"/>
        </w:rPr>
        <w:t xml:space="preserve"> 231-237.</w:t>
      </w:r>
    </w:p>
    <w:p w:rsidR="003D59D1" w:rsidRDefault="003D59D1" w:rsidP="003D59D1">
      <w:pPr>
        <w:tabs>
          <w:tab w:val="left" w:pos="2127"/>
        </w:tabs>
        <w:spacing w:before="120" w:after="60"/>
        <w:ind w:left="567" w:hanging="567"/>
        <w:jc w:val="both"/>
        <w:rPr>
          <w:sz w:val="22"/>
          <w:szCs w:val="22"/>
        </w:rPr>
      </w:pPr>
      <w:r w:rsidRPr="00E0036B">
        <w:rPr>
          <w:sz w:val="22"/>
          <w:szCs w:val="22"/>
        </w:rPr>
        <w:t>Jung, U. J</w:t>
      </w:r>
      <w:proofErr w:type="gramStart"/>
      <w:r w:rsidRPr="00E0036B">
        <w:rPr>
          <w:sz w:val="22"/>
          <w:szCs w:val="22"/>
        </w:rPr>
        <w:t>.,</w:t>
      </w:r>
      <w:proofErr w:type="gramEnd"/>
      <w:r w:rsidRPr="00E0036B">
        <w:rPr>
          <w:sz w:val="22"/>
          <w:szCs w:val="22"/>
        </w:rPr>
        <w:t xml:space="preserve"> Le</w:t>
      </w:r>
      <w:r w:rsidR="00A06540">
        <w:rPr>
          <w:sz w:val="22"/>
          <w:szCs w:val="22"/>
        </w:rPr>
        <w:t>e, M.-K., Park, Y.B., Kang, M.</w:t>
      </w:r>
      <w:r w:rsidRPr="00E0036B">
        <w:rPr>
          <w:sz w:val="22"/>
          <w:szCs w:val="22"/>
        </w:rPr>
        <w:t xml:space="preserve">A. &amp; Choi, M.-S. (2006). Effect of citrus flavonoids on lipid metabolism and glucose-regulating enzyme mRNA levels in type-2 diabetic mice. </w:t>
      </w:r>
      <w:r w:rsidRPr="00E0036B">
        <w:rPr>
          <w:i/>
          <w:iCs/>
          <w:sz w:val="22"/>
          <w:szCs w:val="22"/>
        </w:rPr>
        <w:t xml:space="preserve">The International Journal of Biochemistry &amp; Cell Biology, </w:t>
      </w:r>
      <w:r w:rsidRPr="00A37C23">
        <w:rPr>
          <w:iCs/>
          <w:sz w:val="22"/>
          <w:szCs w:val="22"/>
        </w:rPr>
        <w:t>38(7),</w:t>
      </w:r>
      <w:r w:rsidRPr="00E0036B">
        <w:rPr>
          <w:sz w:val="22"/>
          <w:szCs w:val="22"/>
        </w:rPr>
        <w:t xml:space="preserve"> 1134-1145.</w:t>
      </w:r>
    </w:p>
    <w:p w:rsidR="003D59D1" w:rsidRDefault="00A06540" w:rsidP="003D59D1">
      <w:pPr>
        <w:tabs>
          <w:tab w:val="left" w:pos="2127"/>
        </w:tabs>
        <w:spacing w:before="120" w:after="60"/>
        <w:ind w:left="567" w:hanging="567"/>
        <w:jc w:val="both"/>
        <w:rPr>
          <w:sz w:val="22"/>
          <w:szCs w:val="22"/>
        </w:rPr>
      </w:pPr>
      <w:r>
        <w:rPr>
          <w:sz w:val="22"/>
          <w:szCs w:val="22"/>
        </w:rPr>
        <w:t>Ke, J.-Y</w:t>
      </w:r>
      <w:proofErr w:type="gramStart"/>
      <w:r>
        <w:rPr>
          <w:sz w:val="22"/>
          <w:szCs w:val="22"/>
        </w:rPr>
        <w:t>.,</w:t>
      </w:r>
      <w:proofErr w:type="gramEnd"/>
      <w:r>
        <w:rPr>
          <w:sz w:val="22"/>
          <w:szCs w:val="22"/>
        </w:rPr>
        <w:t xml:space="preserve"> Kliewer, K.L., Hamad, E.M., Cole, R.M., Powell, K.A., Andridge, R.R. &amp; Belury, M.</w:t>
      </w:r>
      <w:r w:rsidR="003D59D1" w:rsidRPr="00E0036B">
        <w:rPr>
          <w:sz w:val="22"/>
          <w:szCs w:val="22"/>
        </w:rPr>
        <w:t xml:space="preserve">A. (2015). The flavonoid, naringenin, decreases adipose tissue mass and attenuates ovariectomy-associated metabolic disturbances in mice. </w:t>
      </w:r>
      <w:r w:rsidR="003D59D1" w:rsidRPr="00E0036B">
        <w:rPr>
          <w:i/>
          <w:iCs/>
          <w:sz w:val="22"/>
          <w:szCs w:val="22"/>
        </w:rPr>
        <w:t xml:space="preserve">Nutrition &amp; Metabolism, </w:t>
      </w:r>
      <w:r w:rsidR="003D59D1" w:rsidRPr="00A37C23">
        <w:rPr>
          <w:iCs/>
          <w:sz w:val="22"/>
          <w:szCs w:val="22"/>
        </w:rPr>
        <w:t>12(1),</w:t>
      </w:r>
      <w:r w:rsidR="003D59D1" w:rsidRPr="00E0036B">
        <w:rPr>
          <w:sz w:val="22"/>
          <w:szCs w:val="22"/>
        </w:rPr>
        <w:t xml:space="preserve"> 1-10.</w:t>
      </w:r>
    </w:p>
    <w:p w:rsidR="003D59D1" w:rsidRDefault="00A06540" w:rsidP="003D59D1">
      <w:pPr>
        <w:tabs>
          <w:tab w:val="left" w:pos="2127"/>
        </w:tabs>
        <w:spacing w:before="120" w:after="60"/>
        <w:ind w:left="567" w:hanging="567"/>
        <w:jc w:val="both"/>
        <w:rPr>
          <w:sz w:val="22"/>
          <w:szCs w:val="22"/>
        </w:rPr>
      </w:pPr>
      <w:r>
        <w:rPr>
          <w:sz w:val="22"/>
          <w:szCs w:val="22"/>
        </w:rPr>
        <w:t>Kolovou, G.D</w:t>
      </w:r>
      <w:proofErr w:type="gramStart"/>
      <w:r>
        <w:rPr>
          <w:sz w:val="22"/>
          <w:szCs w:val="22"/>
        </w:rPr>
        <w:t>.,</w:t>
      </w:r>
      <w:proofErr w:type="gramEnd"/>
      <w:r>
        <w:rPr>
          <w:sz w:val="22"/>
          <w:szCs w:val="22"/>
        </w:rPr>
        <w:t xml:space="preserve"> Anagnostopoulou, K.</w:t>
      </w:r>
      <w:r w:rsidR="003D59D1" w:rsidRPr="00E0036B">
        <w:rPr>
          <w:sz w:val="22"/>
          <w:szCs w:val="22"/>
        </w:rPr>
        <w:t xml:space="preserve">K. &amp; Cokkinos, D. V. (2005). Pathophysiology of dyslipidaemia in the metabolic. </w:t>
      </w:r>
      <w:r w:rsidR="003D59D1" w:rsidRPr="00E0036B">
        <w:rPr>
          <w:i/>
          <w:iCs/>
          <w:sz w:val="22"/>
          <w:szCs w:val="22"/>
        </w:rPr>
        <w:t xml:space="preserve">Postgraduate Medical Journal, </w:t>
      </w:r>
      <w:r w:rsidR="003D59D1" w:rsidRPr="00A37C23">
        <w:rPr>
          <w:iCs/>
          <w:sz w:val="22"/>
          <w:szCs w:val="22"/>
        </w:rPr>
        <w:t>81(956),</w:t>
      </w:r>
      <w:r w:rsidR="003D59D1" w:rsidRPr="00E0036B">
        <w:rPr>
          <w:sz w:val="22"/>
          <w:szCs w:val="22"/>
        </w:rPr>
        <w:t xml:space="preserve"> 358-366.</w:t>
      </w:r>
    </w:p>
    <w:p w:rsidR="003D59D1" w:rsidRDefault="003D59D1" w:rsidP="003D59D1">
      <w:pPr>
        <w:tabs>
          <w:tab w:val="left" w:pos="2127"/>
        </w:tabs>
        <w:spacing w:before="120" w:after="60"/>
        <w:ind w:left="567" w:hanging="567"/>
        <w:jc w:val="both"/>
        <w:rPr>
          <w:sz w:val="22"/>
          <w:szCs w:val="22"/>
        </w:rPr>
      </w:pPr>
      <w:r w:rsidRPr="00E0036B">
        <w:rPr>
          <w:sz w:val="22"/>
          <w:szCs w:val="22"/>
        </w:rPr>
        <w:t>Kurowska, E. M</w:t>
      </w:r>
      <w:proofErr w:type="gramStart"/>
      <w:r w:rsidRPr="00E0036B">
        <w:rPr>
          <w:sz w:val="22"/>
          <w:szCs w:val="22"/>
        </w:rPr>
        <w:t>.,</w:t>
      </w:r>
      <w:proofErr w:type="gramEnd"/>
      <w:r w:rsidRPr="00E0036B">
        <w:rPr>
          <w:sz w:val="22"/>
          <w:szCs w:val="22"/>
        </w:rPr>
        <w:t xml:space="preserve"> Spence, J. D., Jorda</w:t>
      </w:r>
      <w:r w:rsidR="00A06540">
        <w:rPr>
          <w:sz w:val="22"/>
          <w:szCs w:val="22"/>
        </w:rPr>
        <w:t>n, J., Wetmore, S., Freeman, D.</w:t>
      </w:r>
      <w:r w:rsidRPr="00E0036B">
        <w:rPr>
          <w:sz w:val="22"/>
          <w:szCs w:val="22"/>
        </w:rPr>
        <w:t xml:space="preserve">J., Piché, L. A. &amp; Serratore, P. (2000). HDL-cholesterol-raising effect of orange juice in subjects with hypercholesterolemia. </w:t>
      </w:r>
      <w:r w:rsidRPr="00E0036B">
        <w:rPr>
          <w:i/>
          <w:iCs/>
          <w:sz w:val="22"/>
          <w:szCs w:val="22"/>
        </w:rPr>
        <w:t xml:space="preserve">American Journal of Clinical Nutrition, </w:t>
      </w:r>
      <w:r w:rsidRPr="00A37C23">
        <w:rPr>
          <w:iCs/>
          <w:sz w:val="22"/>
          <w:szCs w:val="22"/>
        </w:rPr>
        <w:t>72(5),</w:t>
      </w:r>
      <w:r w:rsidRPr="00E0036B">
        <w:rPr>
          <w:i/>
          <w:iCs/>
          <w:sz w:val="22"/>
          <w:szCs w:val="22"/>
        </w:rPr>
        <w:t xml:space="preserve"> </w:t>
      </w:r>
      <w:r w:rsidRPr="00E0036B">
        <w:rPr>
          <w:sz w:val="22"/>
          <w:szCs w:val="22"/>
        </w:rPr>
        <w:t>1095-1100.</w:t>
      </w:r>
    </w:p>
    <w:p w:rsidR="003D59D1" w:rsidRDefault="00A06540" w:rsidP="003D59D1">
      <w:pPr>
        <w:tabs>
          <w:tab w:val="left" w:pos="2127"/>
        </w:tabs>
        <w:spacing w:before="120" w:after="60"/>
        <w:ind w:left="567" w:hanging="567"/>
        <w:jc w:val="both"/>
        <w:rPr>
          <w:sz w:val="22"/>
          <w:szCs w:val="22"/>
        </w:rPr>
      </w:pPr>
      <w:r>
        <w:rPr>
          <w:sz w:val="22"/>
          <w:szCs w:val="22"/>
        </w:rPr>
        <w:t>Mahmoud, A.</w:t>
      </w:r>
      <w:r w:rsidR="003D59D1" w:rsidRPr="00E0036B">
        <w:rPr>
          <w:sz w:val="22"/>
          <w:szCs w:val="22"/>
        </w:rPr>
        <w:t>M</w:t>
      </w:r>
      <w:proofErr w:type="gramStart"/>
      <w:r w:rsidR="003D59D1" w:rsidRPr="00E0036B">
        <w:rPr>
          <w:sz w:val="22"/>
          <w:szCs w:val="22"/>
        </w:rPr>
        <w:t>.,</w:t>
      </w:r>
      <w:proofErr w:type="gramEnd"/>
      <w:r w:rsidR="003D59D1" w:rsidRPr="00E0036B">
        <w:rPr>
          <w:sz w:val="22"/>
          <w:szCs w:val="22"/>
        </w:rPr>
        <w:t xml:space="preserve"> Ahmed, O. M., Abdel-Moneim, A. &amp; Ashour, M. B. (2013). Upregulation of PPARγ mediates the antidiabetic effects of citrus flavonoids in type 2 diabetic </w:t>
      </w:r>
      <w:proofErr w:type="gramStart"/>
      <w:r w:rsidR="003D59D1" w:rsidRPr="00E0036B">
        <w:rPr>
          <w:sz w:val="22"/>
          <w:szCs w:val="22"/>
        </w:rPr>
        <w:t>rats .</w:t>
      </w:r>
      <w:proofErr w:type="gramEnd"/>
      <w:r w:rsidR="003D59D1" w:rsidRPr="00E0036B">
        <w:rPr>
          <w:sz w:val="22"/>
          <w:szCs w:val="22"/>
        </w:rPr>
        <w:t xml:space="preserve"> </w:t>
      </w:r>
      <w:r w:rsidR="003D59D1" w:rsidRPr="00E0036B">
        <w:rPr>
          <w:i/>
          <w:iCs/>
          <w:sz w:val="22"/>
          <w:szCs w:val="22"/>
        </w:rPr>
        <w:t xml:space="preserve">International Journal of Bioassays, </w:t>
      </w:r>
      <w:r w:rsidR="003D59D1" w:rsidRPr="00A37C23">
        <w:rPr>
          <w:iCs/>
          <w:sz w:val="22"/>
          <w:szCs w:val="22"/>
        </w:rPr>
        <w:t>2(5),</w:t>
      </w:r>
      <w:r w:rsidR="003D59D1" w:rsidRPr="00E0036B">
        <w:rPr>
          <w:sz w:val="22"/>
          <w:szCs w:val="22"/>
        </w:rPr>
        <w:t xml:space="preserve"> 756-761.</w:t>
      </w:r>
    </w:p>
    <w:p w:rsidR="003D59D1" w:rsidRDefault="003D59D1" w:rsidP="003D59D1">
      <w:pPr>
        <w:tabs>
          <w:tab w:val="left" w:pos="2127"/>
        </w:tabs>
        <w:spacing w:before="120" w:after="60"/>
        <w:ind w:left="567" w:hanging="567"/>
        <w:jc w:val="both"/>
        <w:rPr>
          <w:sz w:val="22"/>
          <w:szCs w:val="22"/>
        </w:rPr>
      </w:pPr>
      <w:r w:rsidRPr="00E0036B">
        <w:rPr>
          <w:sz w:val="22"/>
          <w:szCs w:val="22"/>
        </w:rPr>
        <w:t>Milenkovic, D</w:t>
      </w:r>
      <w:proofErr w:type="gramStart"/>
      <w:r w:rsidRPr="00E0036B">
        <w:rPr>
          <w:sz w:val="22"/>
          <w:szCs w:val="22"/>
        </w:rPr>
        <w:t>.,</w:t>
      </w:r>
      <w:proofErr w:type="gramEnd"/>
      <w:r w:rsidRPr="00E0036B">
        <w:rPr>
          <w:sz w:val="22"/>
          <w:szCs w:val="22"/>
        </w:rPr>
        <w:t xml:space="preserve"> Deval, C., Dubray, C., Mazur, A. &amp; Morand, C. (2011). Hesperidin Displays Relevant Role in the Nutrigenomic Effect of Orange Juice on Blood Leukocytes in Human Volunteers: A Randomized Controlled Cross-Over Study. </w:t>
      </w:r>
      <w:r w:rsidRPr="00E0036B">
        <w:rPr>
          <w:i/>
          <w:iCs/>
          <w:sz w:val="22"/>
          <w:szCs w:val="22"/>
        </w:rPr>
        <w:t xml:space="preserve">Plos One, </w:t>
      </w:r>
      <w:r w:rsidRPr="00A37C23">
        <w:rPr>
          <w:iCs/>
          <w:sz w:val="22"/>
          <w:szCs w:val="22"/>
        </w:rPr>
        <w:t>6(11),</w:t>
      </w:r>
      <w:r w:rsidRPr="00E0036B">
        <w:rPr>
          <w:sz w:val="22"/>
          <w:szCs w:val="22"/>
        </w:rPr>
        <w:t xml:space="preserve"> 1-8</w:t>
      </w:r>
      <w:r>
        <w:rPr>
          <w:sz w:val="22"/>
          <w:szCs w:val="22"/>
        </w:rPr>
        <w:t>.</w:t>
      </w:r>
    </w:p>
    <w:p w:rsidR="003D59D1" w:rsidRDefault="003D59D1" w:rsidP="003D59D1">
      <w:pPr>
        <w:tabs>
          <w:tab w:val="left" w:pos="2127"/>
        </w:tabs>
        <w:spacing w:before="120" w:after="60"/>
        <w:ind w:left="567" w:hanging="567"/>
        <w:jc w:val="both"/>
        <w:rPr>
          <w:sz w:val="22"/>
          <w:szCs w:val="22"/>
        </w:rPr>
      </w:pPr>
      <w:r w:rsidRPr="00E0036B">
        <w:rPr>
          <w:sz w:val="22"/>
          <w:szCs w:val="22"/>
        </w:rPr>
        <w:t>Morand, C</w:t>
      </w:r>
      <w:proofErr w:type="gramStart"/>
      <w:r w:rsidRPr="00E0036B">
        <w:rPr>
          <w:sz w:val="22"/>
          <w:szCs w:val="22"/>
        </w:rPr>
        <w:t>.,</w:t>
      </w:r>
      <w:proofErr w:type="gramEnd"/>
      <w:r w:rsidRPr="00E0036B">
        <w:rPr>
          <w:sz w:val="22"/>
          <w:szCs w:val="22"/>
        </w:rPr>
        <w:t xml:space="preserve"> Dubray, C., Milenkovic, D., Lioger, D., Martin, J. F., Scalbert, A. &amp; Mazur, A. </w:t>
      </w:r>
      <w:r w:rsidRPr="00E0036B">
        <w:rPr>
          <w:sz w:val="22"/>
          <w:szCs w:val="22"/>
        </w:rPr>
        <w:t xml:space="preserve">(2011). Hesperidin contributes to the vascular protective effects of orange juice: a randomized crossover study in healthy volunteers. </w:t>
      </w:r>
      <w:r w:rsidRPr="00E0036B">
        <w:rPr>
          <w:i/>
          <w:iCs/>
          <w:sz w:val="22"/>
          <w:szCs w:val="22"/>
        </w:rPr>
        <w:t xml:space="preserve">American Journal of Clinical Nutrition, </w:t>
      </w:r>
      <w:r w:rsidRPr="00A37C23">
        <w:rPr>
          <w:iCs/>
          <w:sz w:val="22"/>
          <w:szCs w:val="22"/>
        </w:rPr>
        <w:t>93,</w:t>
      </w:r>
      <w:r w:rsidRPr="00E0036B">
        <w:rPr>
          <w:i/>
          <w:iCs/>
          <w:sz w:val="22"/>
          <w:szCs w:val="22"/>
        </w:rPr>
        <w:t xml:space="preserve"> </w:t>
      </w:r>
      <w:r w:rsidRPr="00E0036B">
        <w:rPr>
          <w:sz w:val="22"/>
          <w:szCs w:val="22"/>
        </w:rPr>
        <w:t>73-80.</w:t>
      </w:r>
    </w:p>
    <w:p w:rsidR="003D59D1" w:rsidRDefault="00A06540" w:rsidP="003D59D1">
      <w:pPr>
        <w:tabs>
          <w:tab w:val="left" w:pos="2127"/>
        </w:tabs>
        <w:spacing w:before="120" w:after="60"/>
        <w:ind w:left="567" w:hanging="567"/>
        <w:jc w:val="both"/>
        <w:rPr>
          <w:sz w:val="22"/>
          <w:szCs w:val="22"/>
        </w:rPr>
      </w:pPr>
      <w:r>
        <w:rPr>
          <w:sz w:val="22"/>
          <w:szCs w:val="22"/>
        </w:rPr>
        <w:t>Nichols, L.A</w:t>
      </w:r>
      <w:proofErr w:type="gramStart"/>
      <w:r>
        <w:rPr>
          <w:sz w:val="22"/>
          <w:szCs w:val="22"/>
        </w:rPr>
        <w:t>.,</w:t>
      </w:r>
      <w:proofErr w:type="gramEnd"/>
      <w:r>
        <w:rPr>
          <w:sz w:val="22"/>
          <w:szCs w:val="22"/>
        </w:rPr>
        <w:t xml:space="preserve"> Jackson, D.</w:t>
      </w:r>
      <w:r w:rsidR="003D59D1" w:rsidRPr="00E0036B">
        <w:rPr>
          <w:sz w:val="22"/>
          <w:szCs w:val="22"/>
        </w:rPr>
        <w:t xml:space="preserve">E., Manthey, J. A., Shukla, S. D. &amp; Holland, L. J. (2011). Citrus flavonoids repress the mRNA for stearoylCoA desaturase, a key enzyme in lipid synthesis and obesity control, in rat primary hepatocytes. </w:t>
      </w:r>
      <w:r w:rsidR="003D59D1" w:rsidRPr="00E0036B">
        <w:rPr>
          <w:i/>
          <w:iCs/>
          <w:sz w:val="22"/>
          <w:szCs w:val="22"/>
        </w:rPr>
        <w:t>Lipids in Health and Disease, 10,</w:t>
      </w:r>
      <w:r w:rsidR="003D59D1" w:rsidRPr="00E0036B">
        <w:rPr>
          <w:sz w:val="22"/>
          <w:szCs w:val="22"/>
        </w:rPr>
        <w:t xml:space="preserve"> 36.</w:t>
      </w:r>
    </w:p>
    <w:p w:rsidR="003D59D1" w:rsidRDefault="00A06540" w:rsidP="003D59D1">
      <w:pPr>
        <w:tabs>
          <w:tab w:val="left" w:pos="2127"/>
        </w:tabs>
        <w:spacing w:before="120" w:after="60"/>
        <w:ind w:left="567" w:hanging="567"/>
        <w:jc w:val="both"/>
        <w:rPr>
          <w:sz w:val="22"/>
          <w:szCs w:val="22"/>
        </w:rPr>
      </w:pPr>
      <w:r>
        <w:rPr>
          <w:sz w:val="22"/>
          <w:szCs w:val="22"/>
        </w:rPr>
        <w:t>O’Neil, C.E</w:t>
      </w:r>
      <w:proofErr w:type="gramStart"/>
      <w:r>
        <w:rPr>
          <w:sz w:val="22"/>
          <w:szCs w:val="22"/>
        </w:rPr>
        <w:t>.,</w:t>
      </w:r>
      <w:proofErr w:type="gramEnd"/>
      <w:r>
        <w:rPr>
          <w:sz w:val="22"/>
          <w:szCs w:val="22"/>
        </w:rPr>
        <w:t xml:space="preserve"> Nicklas, T.A., Rampersaud, G.C. &amp; Fulgoni, V.</w:t>
      </w:r>
      <w:r w:rsidR="003D59D1" w:rsidRPr="00E0036B">
        <w:rPr>
          <w:sz w:val="22"/>
          <w:szCs w:val="22"/>
        </w:rPr>
        <w:t xml:space="preserve">L. (2012). 100% Orange juice consumption is associated with better diet quality, improved nutrient adequacy, decreased risk for obesity, and improved biomarkers of health in adults: National Health and Nutrition Examination Survey, 2003-2006. </w:t>
      </w:r>
      <w:r w:rsidR="003D59D1" w:rsidRPr="00E0036B">
        <w:rPr>
          <w:i/>
          <w:iCs/>
          <w:sz w:val="22"/>
          <w:szCs w:val="22"/>
        </w:rPr>
        <w:t>Nutrition Journal</w:t>
      </w:r>
      <w:r w:rsidR="003D59D1" w:rsidRPr="003D59D1">
        <w:rPr>
          <w:iCs/>
          <w:sz w:val="22"/>
          <w:szCs w:val="22"/>
        </w:rPr>
        <w:t>, 11,</w:t>
      </w:r>
      <w:r w:rsidR="003D59D1" w:rsidRPr="00E0036B">
        <w:rPr>
          <w:i/>
          <w:iCs/>
          <w:sz w:val="22"/>
          <w:szCs w:val="22"/>
        </w:rPr>
        <w:t xml:space="preserve"> </w:t>
      </w:r>
      <w:r w:rsidR="003D59D1" w:rsidRPr="00E0036B">
        <w:rPr>
          <w:sz w:val="22"/>
          <w:szCs w:val="22"/>
        </w:rPr>
        <w:t>107</w:t>
      </w:r>
      <w:r w:rsidR="003D59D1">
        <w:rPr>
          <w:sz w:val="22"/>
          <w:szCs w:val="22"/>
        </w:rPr>
        <w:t>.</w:t>
      </w:r>
    </w:p>
    <w:p w:rsidR="003D59D1" w:rsidRDefault="003D59D1" w:rsidP="003D59D1">
      <w:pPr>
        <w:tabs>
          <w:tab w:val="left" w:pos="2127"/>
        </w:tabs>
        <w:spacing w:before="120" w:after="60"/>
        <w:ind w:left="567" w:hanging="567"/>
        <w:jc w:val="both"/>
        <w:rPr>
          <w:sz w:val="22"/>
          <w:szCs w:val="22"/>
        </w:rPr>
      </w:pPr>
      <w:r w:rsidRPr="00E0036B">
        <w:rPr>
          <w:sz w:val="22"/>
          <w:szCs w:val="22"/>
        </w:rPr>
        <w:fldChar w:fldCharType="begin"/>
      </w:r>
      <w:r w:rsidRPr="00E0036B">
        <w:rPr>
          <w:sz w:val="22"/>
          <w:szCs w:val="22"/>
        </w:rPr>
        <w:instrText>BIBLIOGRAPHY</w:instrText>
      </w:r>
      <w:r w:rsidRPr="00E0036B">
        <w:rPr>
          <w:sz w:val="22"/>
          <w:szCs w:val="22"/>
        </w:rPr>
        <w:fldChar w:fldCharType="separate"/>
      </w:r>
      <w:r w:rsidR="00A06540">
        <w:rPr>
          <w:sz w:val="22"/>
          <w:szCs w:val="22"/>
        </w:rPr>
        <w:t>Peixoto, J.S., Comar, J.F., Moreira, C.</w:t>
      </w:r>
      <w:r w:rsidRPr="00E0036B">
        <w:rPr>
          <w:sz w:val="22"/>
          <w:szCs w:val="22"/>
        </w:rPr>
        <w:t xml:space="preserve">T., Soares, A. A., Oliveira, A. L., Bracht, A. &amp; Peralta, R. M. (2012). Effects of Citrus aurantium (Bitter Orange) Fruit Extracts and p-Synephrine on Metabolic Fluxes in the Rat Liver. </w:t>
      </w:r>
      <w:r w:rsidRPr="00E0036B">
        <w:rPr>
          <w:i/>
          <w:iCs/>
          <w:sz w:val="22"/>
          <w:szCs w:val="22"/>
        </w:rPr>
        <w:t xml:space="preserve">Molecules, </w:t>
      </w:r>
      <w:r w:rsidRPr="003D59D1">
        <w:rPr>
          <w:iCs/>
          <w:sz w:val="22"/>
          <w:szCs w:val="22"/>
        </w:rPr>
        <w:t>17</w:t>
      </w:r>
      <w:r w:rsidRPr="003D59D1">
        <w:rPr>
          <w:sz w:val="22"/>
          <w:szCs w:val="22"/>
        </w:rPr>
        <w:t xml:space="preserve">, </w:t>
      </w:r>
      <w:r w:rsidRPr="00E0036B">
        <w:rPr>
          <w:sz w:val="22"/>
          <w:szCs w:val="22"/>
        </w:rPr>
        <w:t>5854-5869.</w:t>
      </w:r>
      <w:r w:rsidRPr="00E0036B">
        <w:rPr>
          <w:sz w:val="22"/>
          <w:szCs w:val="22"/>
        </w:rPr>
        <w:fldChar w:fldCharType="end"/>
      </w:r>
    </w:p>
    <w:p w:rsidR="003D59D1" w:rsidRDefault="003D59D1" w:rsidP="003D59D1">
      <w:pPr>
        <w:tabs>
          <w:tab w:val="left" w:pos="2127"/>
        </w:tabs>
        <w:spacing w:before="120" w:after="60"/>
        <w:ind w:left="567" w:hanging="567"/>
        <w:jc w:val="both"/>
        <w:rPr>
          <w:sz w:val="22"/>
          <w:szCs w:val="22"/>
        </w:rPr>
      </w:pPr>
      <w:r w:rsidRPr="00E0036B">
        <w:rPr>
          <w:sz w:val="22"/>
          <w:szCs w:val="22"/>
        </w:rPr>
        <w:t>Peter, A</w:t>
      </w:r>
      <w:proofErr w:type="gramStart"/>
      <w:r w:rsidRPr="00E0036B">
        <w:rPr>
          <w:sz w:val="22"/>
          <w:szCs w:val="22"/>
        </w:rPr>
        <w:t>.,</w:t>
      </w:r>
      <w:proofErr w:type="gramEnd"/>
      <w:r w:rsidRPr="00E0036B">
        <w:rPr>
          <w:sz w:val="22"/>
          <w:szCs w:val="22"/>
        </w:rPr>
        <w:t xml:space="preserve"> Cegan, A., Wagner, S., Lehmann, R., Stefan, N., Konigsrainer, A. &amp; Schleicher, E. (2009). Plazma VLDL Yağ Asit Oranlarından Hepatik Lipid Bileşimi ve Stearol-Koenzim A Desaturaz 1 mRNA Ekspresyonunun Belirlenmesi. </w:t>
      </w:r>
      <w:r w:rsidRPr="00E0036B">
        <w:rPr>
          <w:i/>
          <w:iCs/>
          <w:sz w:val="22"/>
          <w:szCs w:val="22"/>
        </w:rPr>
        <w:t xml:space="preserve">Clinical Chemistry, </w:t>
      </w:r>
      <w:r w:rsidRPr="003D59D1">
        <w:rPr>
          <w:iCs/>
          <w:sz w:val="22"/>
          <w:szCs w:val="22"/>
        </w:rPr>
        <w:t>55(12),</w:t>
      </w:r>
      <w:r w:rsidRPr="00E0036B">
        <w:rPr>
          <w:sz w:val="22"/>
          <w:szCs w:val="22"/>
        </w:rPr>
        <w:t xml:space="preserve"> 2113-2120.</w:t>
      </w:r>
    </w:p>
    <w:p w:rsidR="003D59D1" w:rsidRDefault="00F520A5" w:rsidP="003D59D1">
      <w:pPr>
        <w:tabs>
          <w:tab w:val="left" w:pos="2127"/>
        </w:tabs>
        <w:spacing w:before="120" w:after="60"/>
        <w:ind w:left="567" w:hanging="567"/>
        <w:jc w:val="both"/>
        <w:rPr>
          <w:sz w:val="22"/>
          <w:szCs w:val="22"/>
        </w:rPr>
      </w:pPr>
      <w:sdt>
        <w:sdtPr>
          <w:rPr>
            <w:sz w:val="22"/>
            <w:szCs w:val="22"/>
          </w:rPr>
          <w:id w:val="111145805"/>
          <w:bibliography/>
        </w:sdtPr>
        <w:sdtEndPr/>
        <w:sdtContent>
          <w:r w:rsidR="003D59D1" w:rsidRPr="00E0036B">
            <w:rPr>
              <w:sz w:val="22"/>
              <w:szCs w:val="22"/>
            </w:rPr>
            <w:t xml:space="preserve">Sanofer, A. (2014). Role of citrus fruits in health. </w:t>
          </w:r>
          <w:r w:rsidR="003D59D1" w:rsidRPr="00E0036B">
            <w:rPr>
              <w:i/>
              <w:iCs/>
              <w:sz w:val="22"/>
              <w:szCs w:val="22"/>
            </w:rPr>
            <w:t>Journal of Pharmaceutical Sciences, 6(2),</w:t>
          </w:r>
          <w:r w:rsidR="003D59D1" w:rsidRPr="00E0036B">
            <w:rPr>
              <w:sz w:val="22"/>
              <w:szCs w:val="22"/>
            </w:rPr>
            <w:t xml:space="preserve"> 121-123.</w:t>
          </w:r>
        </w:sdtContent>
      </w:sdt>
    </w:p>
    <w:p w:rsidR="003D59D1" w:rsidRDefault="002773F1" w:rsidP="003D59D1">
      <w:pPr>
        <w:tabs>
          <w:tab w:val="left" w:pos="2127"/>
        </w:tabs>
        <w:spacing w:before="120" w:after="60"/>
        <w:ind w:left="567" w:hanging="567"/>
        <w:jc w:val="both"/>
        <w:rPr>
          <w:sz w:val="22"/>
          <w:szCs w:val="22"/>
        </w:rPr>
      </w:pPr>
      <w:r>
        <w:rPr>
          <w:sz w:val="22"/>
          <w:szCs w:val="22"/>
        </w:rPr>
        <w:t>Ö</w:t>
      </w:r>
      <w:r w:rsidR="003D59D1" w:rsidRPr="00E0036B">
        <w:rPr>
          <w:sz w:val="22"/>
          <w:szCs w:val="22"/>
        </w:rPr>
        <w:t xml:space="preserve">zmen, M.K. (2013). Türkiye Kronik Hastalıklar ve Risk Faktörleri Sıklığı Çalışması. In B. Ünal &amp; G. </w:t>
      </w:r>
      <w:r w:rsidR="003D59D1" w:rsidRPr="002773F1">
        <w:rPr>
          <w:sz w:val="22"/>
          <w:szCs w:val="22"/>
        </w:rPr>
        <w:t xml:space="preserve">Ergör (eds.), Metabolik Sendrom </w:t>
      </w:r>
      <w:r w:rsidR="003D59D1" w:rsidRPr="002773F1">
        <w:rPr>
          <w:i/>
          <w:sz w:val="22"/>
          <w:szCs w:val="22"/>
        </w:rPr>
        <w:t>(pp.145-149)</w:t>
      </w:r>
      <w:r w:rsidR="003D59D1" w:rsidRPr="002773F1">
        <w:rPr>
          <w:sz w:val="22"/>
          <w:szCs w:val="22"/>
        </w:rPr>
        <w:t xml:space="preserve">. Ankara: Anıl Matbaa. .  </w:t>
      </w:r>
      <w:r w:rsidRPr="002773F1">
        <w:rPr>
          <w:color w:val="000000"/>
          <w:sz w:val="22"/>
          <w:szCs w:val="22"/>
          <w:lang w:eastAsia="tr-TR"/>
        </w:rPr>
        <w:t>ISBN: 978-975-590-461-0</w:t>
      </w:r>
    </w:p>
    <w:p w:rsidR="003D59D1" w:rsidRDefault="003D59D1" w:rsidP="003D59D1">
      <w:pPr>
        <w:tabs>
          <w:tab w:val="left" w:pos="2127"/>
        </w:tabs>
        <w:spacing w:before="120" w:after="60"/>
        <w:ind w:left="567" w:hanging="567"/>
        <w:jc w:val="both"/>
        <w:rPr>
          <w:sz w:val="22"/>
          <w:szCs w:val="22"/>
        </w:rPr>
      </w:pPr>
      <w:r w:rsidRPr="00E0036B">
        <w:rPr>
          <w:sz w:val="22"/>
          <w:szCs w:val="22"/>
        </w:rPr>
        <w:t>Stohs, S. J</w:t>
      </w:r>
      <w:proofErr w:type="gramStart"/>
      <w:r w:rsidRPr="00E0036B">
        <w:rPr>
          <w:sz w:val="22"/>
          <w:szCs w:val="22"/>
        </w:rPr>
        <w:t>.,</w:t>
      </w:r>
      <w:proofErr w:type="gramEnd"/>
      <w:r w:rsidRPr="00E0036B">
        <w:rPr>
          <w:sz w:val="22"/>
          <w:szCs w:val="22"/>
        </w:rPr>
        <w:t xml:space="preserve"> Preuss, H. G. &amp; Shara, M. (2012). A Review of the Human Clinical Studies Involving Citrus aurantium (Bitter Orange) Extract and its Primary Protoalkaloid p-Synephrine. </w:t>
      </w:r>
      <w:r w:rsidRPr="00E0036B">
        <w:rPr>
          <w:i/>
          <w:iCs/>
          <w:sz w:val="22"/>
          <w:szCs w:val="22"/>
        </w:rPr>
        <w:t>International Journal of Medical Sciences,</w:t>
      </w:r>
      <w:r>
        <w:rPr>
          <w:i/>
          <w:iCs/>
          <w:sz w:val="22"/>
          <w:szCs w:val="22"/>
        </w:rPr>
        <w:t xml:space="preserve"> </w:t>
      </w:r>
      <w:r w:rsidRPr="003D59D1">
        <w:rPr>
          <w:iCs/>
          <w:sz w:val="22"/>
          <w:szCs w:val="22"/>
        </w:rPr>
        <w:t>9(7),</w:t>
      </w:r>
      <w:r w:rsidRPr="00E0036B">
        <w:rPr>
          <w:sz w:val="22"/>
          <w:szCs w:val="22"/>
        </w:rPr>
        <w:t xml:space="preserve"> 527-538.</w:t>
      </w:r>
    </w:p>
    <w:p w:rsidR="003D59D1" w:rsidRDefault="003D59D1" w:rsidP="003D59D1">
      <w:pPr>
        <w:tabs>
          <w:tab w:val="left" w:pos="2127"/>
        </w:tabs>
        <w:spacing w:before="120" w:after="60"/>
        <w:ind w:left="567" w:hanging="567"/>
        <w:jc w:val="both"/>
        <w:rPr>
          <w:sz w:val="22"/>
          <w:szCs w:val="22"/>
        </w:rPr>
      </w:pPr>
      <w:r w:rsidRPr="00E0036B">
        <w:rPr>
          <w:sz w:val="22"/>
          <w:szCs w:val="22"/>
        </w:rPr>
        <w:t>Stohs, S. J</w:t>
      </w:r>
      <w:proofErr w:type="gramStart"/>
      <w:r w:rsidRPr="00E0036B">
        <w:rPr>
          <w:sz w:val="22"/>
          <w:szCs w:val="22"/>
        </w:rPr>
        <w:t>.,</w:t>
      </w:r>
      <w:proofErr w:type="gramEnd"/>
      <w:r w:rsidRPr="00E0036B">
        <w:rPr>
          <w:sz w:val="22"/>
          <w:szCs w:val="22"/>
        </w:rPr>
        <w:t xml:space="preserve"> Preuss, H. G., Keith, S. C., Keith, P. L., Miller, H. &amp; Kaats, G. R. (2011). Effects of p-Synephrine alone and in Combination </w:t>
      </w:r>
      <w:r w:rsidRPr="00E0036B">
        <w:rPr>
          <w:sz w:val="22"/>
          <w:szCs w:val="22"/>
        </w:rPr>
        <w:lastRenderedPageBreak/>
        <w:t xml:space="preserve">with Selected Bioflavo-noids on Resting Metabolism, Blood Pressure, Heart Rate and Self-Reported Mood Changes. </w:t>
      </w:r>
      <w:r w:rsidRPr="00E0036B">
        <w:rPr>
          <w:i/>
          <w:iCs/>
          <w:sz w:val="22"/>
          <w:szCs w:val="22"/>
        </w:rPr>
        <w:t xml:space="preserve">International Journal of Medical Sciences, </w:t>
      </w:r>
      <w:r w:rsidRPr="00A37C23">
        <w:rPr>
          <w:iCs/>
          <w:sz w:val="22"/>
          <w:szCs w:val="22"/>
        </w:rPr>
        <w:t>8(1),</w:t>
      </w:r>
      <w:r w:rsidRPr="00E0036B">
        <w:rPr>
          <w:sz w:val="22"/>
          <w:szCs w:val="22"/>
        </w:rPr>
        <w:t xml:space="preserve"> 295-301.</w:t>
      </w:r>
    </w:p>
    <w:p w:rsidR="002773F1" w:rsidRDefault="003D59D1" w:rsidP="003D59D1">
      <w:pPr>
        <w:tabs>
          <w:tab w:val="left" w:pos="2127"/>
        </w:tabs>
        <w:spacing w:before="120" w:after="60"/>
        <w:ind w:left="567" w:hanging="567"/>
        <w:jc w:val="both"/>
        <w:rPr>
          <w:sz w:val="22"/>
          <w:szCs w:val="22"/>
        </w:rPr>
      </w:pPr>
      <w:r>
        <w:rPr>
          <w:sz w:val="22"/>
          <w:szCs w:val="22"/>
        </w:rPr>
        <w:t>T</w:t>
      </w:r>
      <w:r w:rsidRPr="00E0036B">
        <w:rPr>
          <w:sz w:val="22"/>
          <w:szCs w:val="22"/>
        </w:rPr>
        <w:t xml:space="preserve">urner, T. &amp; Burri, B. J. (2013). Potential nutritional benefits of current citrus consumption. </w:t>
      </w:r>
      <w:r w:rsidRPr="00E0036B">
        <w:rPr>
          <w:i/>
          <w:iCs/>
          <w:sz w:val="22"/>
          <w:szCs w:val="22"/>
        </w:rPr>
        <w:t>Agriculture</w:t>
      </w:r>
      <w:r w:rsidRPr="003D59D1">
        <w:rPr>
          <w:iCs/>
          <w:sz w:val="22"/>
          <w:szCs w:val="22"/>
        </w:rPr>
        <w:t>, 3,</w:t>
      </w:r>
      <w:r w:rsidRPr="00E0036B">
        <w:rPr>
          <w:sz w:val="22"/>
          <w:szCs w:val="22"/>
        </w:rPr>
        <w:t xml:space="preserve"> 170-187.</w:t>
      </w:r>
    </w:p>
    <w:p w:rsidR="002773F1" w:rsidRDefault="003D59D1" w:rsidP="002773F1">
      <w:pPr>
        <w:tabs>
          <w:tab w:val="left" w:pos="2127"/>
        </w:tabs>
        <w:spacing w:before="120"/>
        <w:ind w:left="567" w:hanging="567"/>
        <w:jc w:val="both"/>
        <w:rPr>
          <w:sz w:val="22"/>
          <w:szCs w:val="22"/>
        </w:rPr>
      </w:pPr>
      <w:proofErr w:type="gramStart"/>
      <w:r w:rsidRPr="00E0036B">
        <w:rPr>
          <w:sz w:val="22"/>
          <w:szCs w:val="22"/>
        </w:rPr>
        <w:t xml:space="preserve">Türkiye İstatistik Kurumu. </w:t>
      </w:r>
      <w:proofErr w:type="gramEnd"/>
      <w:r w:rsidRPr="00E0036B">
        <w:rPr>
          <w:sz w:val="22"/>
          <w:szCs w:val="22"/>
        </w:rPr>
        <w:t xml:space="preserve">(2015). Bitkisel Üretim İstatistikleri, İstatistiksel Tablolar: Turunçgiller. Retrieved from </w:t>
      </w:r>
    </w:p>
    <w:p w:rsidR="003D59D1" w:rsidRDefault="002773F1" w:rsidP="002773F1">
      <w:pPr>
        <w:tabs>
          <w:tab w:val="left" w:pos="2127"/>
        </w:tabs>
        <w:spacing w:after="60"/>
        <w:ind w:left="567" w:hanging="567"/>
        <w:jc w:val="both"/>
        <w:rPr>
          <w:sz w:val="22"/>
          <w:szCs w:val="22"/>
        </w:rPr>
      </w:pPr>
      <w:r>
        <w:rPr>
          <w:sz w:val="22"/>
          <w:szCs w:val="22"/>
        </w:rPr>
        <w:tab/>
      </w:r>
      <w:hyperlink r:id="rId17" w:history="1">
        <w:r w:rsidR="003D59D1" w:rsidRPr="00BF4FD8">
          <w:rPr>
            <w:rStyle w:val="Kpr"/>
            <w:sz w:val="22"/>
            <w:szCs w:val="22"/>
          </w:rPr>
          <w:t>http://www.tuik.gov.tr/PreTablo.do?alt_id=1001</w:t>
        </w:r>
      </w:hyperlink>
      <w:r w:rsidR="003D59D1">
        <w:rPr>
          <w:sz w:val="22"/>
          <w:szCs w:val="22"/>
        </w:rPr>
        <w:t xml:space="preserve"> </w:t>
      </w:r>
      <w:r w:rsidR="003D59D1" w:rsidRPr="00E0036B">
        <w:rPr>
          <w:sz w:val="22"/>
          <w:szCs w:val="22"/>
        </w:rPr>
        <w:t xml:space="preserve"> (accessed 19.11.16)</w:t>
      </w:r>
    </w:p>
    <w:p w:rsidR="003D59D1" w:rsidRDefault="002773F1" w:rsidP="003D59D1">
      <w:pPr>
        <w:tabs>
          <w:tab w:val="left" w:pos="2127"/>
        </w:tabs>
        <w:spacing w:before="120" w:after="60"/>
        <w:ind w:left="567" w:hanging="567"/>
        <w:jc w:val="both"/>
        <w:rPr>
          <w:sz w:val="22"/>
          <w:szCs w:val="22"/>
        </w:rPr>
      </w:pPr>
      <w:r>
        <w:rPr>
          <w:sz w:val="22"/>
          <w:szCs w:val="22"/>
        </w:rPr>
        <w:br w:type="column"/>
      </w:r>
      <w:r w:rsidR="003D59D1" w:rsidRPr="00E0036B">
        <w:rPr>
          <w:sz w:val="22"/>
          <w:szCs w:val="22"/>
        </w:rPr>
        <w:t xml:space="preserve">Vinson, J. A. &amp; Jang, J. (2001). In Vitro and In Vivo Lipoprotein Antioxidant Effect of a Citrus Extract and Ascorbic Acid on Normal and Hypercholesterolemic Human Subjects. </w:t>
      </w:r>
      <w:r w:rsidR="003D59D1" w:rsidRPr="00E0036B">
        <w:rPr>
          <w:i/>
          <w:iCs/>
          <w:sz w:val="22"/>
          <w:szCs w:val="22"/>
        </w:rPr>
        <w:t xml:space="preserve">Journal of Medicinal Food, </w:t>
      </w:r>
      <w:r w:rsidR="003D59D1" w:rsidRPr="003D59D1">
        <w:rPr>
          <w:iCs/>
          <w:sz w:val="22"/>
          <w:szCs w:val="22"/>
        </w:rPr>
        <w:t>4(4),</w:t>
      </w:r>
      <w:r w:rsidR="003D59D1" w:rsidRPr="00E0036B">
        <w:rPr>
          <w:sz w:val="22"/>
          <w:szCs w:val="22"/>
        </w:rPr>
        <w:t xml:space="preserve"> 187-191.</w:t>
      </w:r>
    </w:p>
    <w:p w:rsidR="003D59D1" w:rsidRPr="00E0036B" w:rsidRDefault="003D59D1" w:rsidP="003D59D1">
      <w:pPr>
        <w:tabs>
          <w:tab w:val="left" w:pos="2127"/>
        </w:tabs>
        <w:spacing w:before="120" w:after="60"/>
        <w:ind w:left="567" w:hanging="567"/>
        <w:jc w:val="both"/>
        <w:rPr>
          <w:sz w:val="22"/>
          <w:szCs w:val="22"/>
        </w:rPr>
      </w:pPr>
      <w:r w:rsidRPr="00E0036B">
        <w:rPr>
          <w:sz w:val="22"/>
          <w:szCs w:val="22"/>
        </w:rPr>
        <w:t>Yalım, S</w:t>
      </w:r>
      <w:proofErr w:type="gramStart"/>
      <w:r w:rsidRPr="00E0036B">
        <w:rPr>
          <w:sz w:val="22"/>
          <w:szCs w:val="22"/>
        </w:rPr>
        <w:t>.,</w:t>
      </w:r>
      <w:proofErr w:type="gramEnd"/>
      <w:r w:rsidRPr="00E0036B">
        <w:rPr>
          <w:sz w:val="22"/>
          <w:szCs w:val="22"/>
        </w:rPr>
        <w:t xml:space="preserve"> Özdemir, Y. &amp; Ekiz, H. İ. (2004). Naringin in Turkish orange juices and its reduction by naringinase. </w:t>
      </w:r>
      <w:r w:rsidRPr="00E0036B">
        <w:rPr>
          <w:i/>
          <w:iCs/>
          <w:sz w:val="22"/>
          <w:szCs w:val="22"/>
        </w:rPr>
        <w:t xml:space="preserve">Journal of Food and Drug Analysis, </w:t>
      </w:r>
      <w:r w:rsidRPr="003D59D1">
        <w:rPr>
          <w:iCs/>
          <w:sz w:val="22"/>
          <w:szCs w:val="22"/>
        </w:rPr>
        <w:t xml:space="preserve">3(12), </w:t>
      </w:r>
      <w:r w:rsidRPr="00E0036B">
        <w:rPr>
          <w:sz w:val="22"/>
          <w:szCs w:val="22"/>
        </w:rPr>
        <w:t>273-276.</w:t>
      </w:r>
    </w:p>
    <w:p w:rsidR="00E100CA" w:rsidRPr="00E100CA" w:rsidRDefault="00E100CA" w:rsidP="003D59D1">
      <w:pPr>
        <w:spacing w:before="120" w:after="60"/>
        <w:ind w:left="567" w:hanging="567"/>
        <w:jc w:val="both"/>
      </w:pPr>
    </w:p>
    <w:sectPr w:rsidR="00E100CA" w:rsidRPr="00E100CA" w:rsidSect="00A37C23">
      <w:pgSz w:w="11906" w:h="16838" w:code="9"/>
      <w:pgMar w:top="1418" w:right="1418" w:bottom="1418"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0A5" w:rsidRDefault="00F520A5">
      <w:r>
        <w:separator/>
      </w:r>
    </w:p>
  </w:endnote>
  <w:endnote w:type="continuationSeparator" w:id="0">
    <w:p w:rsidR="00F520A5" w:rsidRDefault="00F5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00006FF" w:usb1="0000F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A2"/>
    <w:family w:val="roman"/>
    <w:pitch w:val="variable"/>
    <w:sig w:usb0="E0002E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 w:name="Dutch801HdEU">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Plantin">
    <w:altName w:val="Times New Roman"/>
    <w:panose1 w:val="00000000000000000000"/>
    <w:charset w:val="00"/>
    <w:family w:val="roman"/>
    <w:notTrueType/>
    <w:pitch w:val="default"/>
  </w:font>
  <w:font w:name="Quarum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85259"/>
      <w:docPartObj>
        <w:docPartGallery w:val="Page Numbers (Bottom of Page)"/>
        <w:docPartUnique/>
      </w:docPartObj>
    </w:sdtPr>
    <w:sdtEndPr/>
    <w:sdtContent>
      <w:p w:rsidR="00A06540" w:rsidRDefault="00A06540">
        <w:pPr>
          <w:pStyle w:val="AltBilgi"/>
          <w:ind w:right="360" w:firstLine="360"/>
        </w:pPr>
        <w:r>
          <w:rPr>
            <w:noProof/>
            <w:lang w:eastAsia="tr-TR"/>
          </w:rPr>
          <mc:AlternateContent>
            <mc:Choice Requires="wps">
              <w:drawing>
                <wp:anchor distT="0" distB="0" distL="114300" distR="114300" simplePos="0" relativeHeight="251677696" behindDoc="0" locked="0" layoutInCell="1" allowOverlap="1">
                  <wp:simplePos x="0" y="0"/>
                  <wp:positionH relativeFrom="leftMargin">
                    <wp:align>center</wp:align>
                  </wp:positionH>
                  <wp:positionV relativeFrom="bottomMargin">
                    <wp:align>center</wp:align>
                  </wp:positionV>
                  <wp:extent cx="565785" cy="191770"/>
                  <wp:effectExtent l="0" t="0" r="0" b="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06540" w:rsidRDefault="00A0654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82730" w:rsidRPr="00E82730">
                                <w:rPr>
                                  <w:noProof/>
                                  <w:color w:val="ED7D31" w:themeColor="accent2"/>
                                </w:rPr>
                                <w:t>52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Dikdörtgen 11" o:spid="_x0000_s1026" style="position:absolute;left:0;text-align:left;margin-left:0;margin-top:0;width:44.55pt;height:15.1pt;rotation:180;flip:x;z-index:25167769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FozQIAAMUFAAAOAAAAZHJzL2Uyb0RvYy54bWysVOFu0zAQ/o/EO1j+nyXpnDaJlk5b0gLS&#10;gEmDB3ATp7FI7GC7TQfitXgBXoyz03bt9gcB+RHZ5/N39919vqvrXdeiLVOaS5Hh8CLAiIlSVlys&#10;M/z509KLMdKGioq2UrAMPzKNr+evX10NfcomspFtxRQCEKHToc9wY0yf+r4uG9ZRfSF7JuCwlqqj&#10;BrZq7VeKDoDetf4kCKb+IFXVK1kyrcFajId47vDrmpXmY11rZlCbYcjNuL9y/5X9+/Mrmq4V7Rte&#10;7tOgf5FFR7mAoEeoghqKNoq/gOp4qaSWtbkoZefLuuYlcxyATRg8Y/PQ0J45LlAc3R/LpP8fbPlh&#10;e68Qr6B3IUaCdtCjgn+pfv1UZs0EAiuUaOh1Cp4P/b2yJHV/J8svGgmZN1Ss2Y1ScmgYrSAx5++f&#10;XbAbDVfRangvKwhAN0a6au1q1SEloSthEAf2w6huef/W4thIUCC0c916PHaL7QwqwRhNo1kcYVTC&#10;UZiEs5nrpk9Ti2ov90qbN0x2yC4yrEAMDpRu77QBVuB6cLHuQi552zpBtOLMAI6jBULDVXtmk3D9&#10;/Z4EySJexMQjk+nCI0FReDfLnHjTZTiLissiz4vwh40bkrThVcWEDXPQWkj+rJd71Y8qOapNy5ZX&#10;Fs6mpNV6lbcKbSloPQ+igBS2d5D8iZt/noY7Bi7PKIUTEtxOEm85jWceWZLIS2ZB7AVhcptMA5KQ&#10;YnlO6Y4L9u+U0JDhSRzNItemk6yfkYvy+PKWvCRH044bGCct7zK815Prp9XmQlRubShvx/VJLWz+&#10;T7WAkh067ZRsxTs+ArNb7QDFKnolq0fQtFMvyBZmIGiskeobRgPMkwzrrxuqGEbtOwHvIgkJsQPI&#10;bWChTq2rg5WKEiAybDAal7kZh9WmV3zdQITxXQh5A2+o5k7GT9kABbuBWeHI7OeaHUane+f1NH3n&#10;vwE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AyvAFozQIAAMUFAAAOAAAAAAAAAAAAAAAAAC4CAABkcnMvZTJvRG9jLnhtbFBL&#10;AQItABQABgAIAAAAIQAj5Xrx2wAAAAMBAAAPAAAAAAAAAAAAAAAAACcFAABkcnMvZG93bnJldi54&#10;bWxQSwUGAAAAAAQABADzAAAALwYAAAAA&#10;" filled="f" fillcolor="#c0504d" stroked="f" strokecolor="#5c83b4" strokeweight="2.25pt">
                  <v:textbox inset=",0,,0">
                    <w:txbxContent>
                      <w:p w:rsidR="00A06540" w:rsidRDefault="00A0654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82730" w:rsidRPr="00E82730">
                          <w:rPr>
                            <w:noProof/>
                            <w:color w:val="ED7D31" w:themeColor="accent2"/>
                          </w:rPr>
                          <w:t>52</w:t>
                        </w:r>
                        <w:r>
                          <w:rPr>
                            <w:color w:val="ED7D3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0944"/>
      <w:docPartObj>
        <w:docPartGallery w:val="Page Numbers (Bottom of Page)"/>
        <w:docPartUnique/>
      </w:docPartObj>
    </w:sdtPr>
    <w:sdtEndPr/>
    <w:sdtContent>
      <w:p w:rsidR="00A06540" w:rsidRPr="00083A56" w:rsidRDefault="00A06540" w:rsidP="00083A56">
        <w:pPr>
          <w:pStyle w:val="AltBilgi"/>
        </w:pPr>
        <w:r>
          <w:rPr>
            <w:noProof/>
            <w:lang w:eastAsia="tr-TR"/>
          </w:rPr>
          <mc:AlternateContent>
            <mc:Choice Requires="wps">
              <w:drawing>
                <wp:anchor distT="0" distB="0" distL="114300" distR="114300" simplePos="0" relativeHeight="25167564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06540" w:rsidRDefault="00A0654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F54466" w:rsidRPr="00F54466">
                                <w:rPr>
                                  <w:noProof/>
                                  <w:color w:val="ED7D31" w:themeColor="accent2"/>
                                </w:rPr>
                                <w:t>105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Dikdörtgen 9" o:spid="_x0000_s1027" style="position:absolute;margin-left:0;margin-top:0;width:44.55pt;height:15.1pt;rotation:180;flip:x;z-index:25167564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LozQIAAMoFAAAOAAAAZHJzL2Uyb0RvYy54bWysVN1u0zAUvkfiHSzfZ0k6p02ipdOWtIA0&#10;YNLgAdzEaSwSO9hu04F4LV6AF+PY6fqz3SAgF5F/jr/z833nXF3vuhZtmdJcigyHFwFGTJSy4mKd&#10;4c+fll6MkTZUVLSVgmX4kWl8PX/96mroUzaRjWwrphCACJ0OfYYbY/rU93XZsI7qC9kzAZe1VB01&#10;sFVrv1J0APSu9SdBMPUHqapeyZJpDafFeInnDr+uWWk+1rVmBrUZhtiM+yv3X9m/P7+i6VrRvuHl&#10;Pgz6F1F0lAtweoAqqKFoo/gLqI6XSmpZm4tSdr6sa14ylwNkEwbPsnloaM9cLlAc3R/KpP8fbPlh&#10;e68QrzKcYCRoBxQV/Ev166cyayZQYgs09DoFu4f+XtkUdX8nyy8aCZk3VKzZjVJyaBitIKzQ2vtn&#10;D+xGw1O0Gt7LCvDpxkhXq12tOqQkcBIGcWA/jOqW928tjvUE5UE7x9XjgSu2M6iEw2gazeIIoxKu&#10;wiSczRyXPk0tqn3cK23eMNkhu8iwAik4ULq908ZGeTSx5kIueds6ObTi7AAMxxNwDU/tnQ3Csfs9&#10;CZJFvIiJRybThUeCovBuljnxpstwFhWXRZ4X4Q/rNyRpw6uKCevmSWkh+TMm95ofNXLQmpYtryyc&#10;DUmr9SpvFdpSUHoeRAEpHBdwczTzz8NwRYBcnqUUTkhwO0m85TSeeWRJIi+ZBbEXhMltMg1IQorl&#10;eUp3XLB/TwkNGZ7E0SxyNJ1E/Sy5KI8vb8nL5GjacQPDpOVdhvd6cnxabS5E5daG8nZcn9TCxn+s&#10;BfD9xLRTshXv2ARmt9q5XnEyt8JeyeoRpO1EDOqFQQhSa6T6htEAQyXD+uuGKoZR+05AeyQhIXYK&#10;uQ0s1Onp6umUihIgMmwwGpe5GSfWpld83YCHsT2EvIFWqrlT8zGafQPCwHA57YebnUine2d1HMHz&#10;3wA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Ab6OLozQIAAMoFAAAOAAAAAAAAAAAAAAAAAC4CAABkcnMvZTJvRG9jLnhtbFBL&#10;AQItABQABgAIAAAAIQAj5Xrx2wAAAAMBAAAPAAAAAAAAAAAAAAAAACcFAABkcnMvZG93bnJldi54&#10;bWxQSwUGAAAAAAQABADzAAAALwYAAAAA&#10;" filled="f" fillcolor="#c0504d" stroked="f" strokecolor="#5c83b4" strokeweight="2.25pt">
                  <v:textbox inset=",0,,0">
                    <w:txbxContent>
                      <w:p w:rsidR="00A06540" w:rsidRDefault="00A0654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F54466" w:rsidRPr="00F54466">
                          <w:rPr>
                            <w:noProof/>
                            <w:color w:val="ED7D31" w:themeColor="accent2"/>
                          </w:rPr>
                          <w:t>105</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029557312"/>
      <w:docPartObj>
        <w:docPartGallery w:val="Page Numbers (Bottom of Page)"/>
        <w:docPartUnique/>
      </w:docPartObj>
    </w:sdtPr>
    <w:sdtEndPr/>
    <w:sdtContent>
      <w:p w:rsidR="00A06540" w:rsidRPr="00F16C33" w:rsidRDefault="00A06540" w:rsidP="00DB4B27">
        <w:pPr>
          <w:pStyle w:val="AltBilgi"/>
          <w:tabs>
            <w:tab w:val="clear" w:pos="9072"/>
          </w:tabs>
          <w:rPr>
            <w:b/>
            <w:color w:val="C00000"/>
            <w:sz w:val="18"/>
            <w:szCs w:val="18"/>
          </w:rPr>
        </w:pPr>
        <w:r w:rsidRPr="00F16C33">
          <w:rPr>
            <w:b/>
            <w:color w:val="C00000"/>
            <w:sz w:val="18"/>
            <w:szCs w:val="18"/>
          </w:rPr>
          <w:t xml:space="preserve">JOURNAL OF FOOD AND HEALTH SCIENCE    </w:t>
        </w:r>
      </w:p>
      <w:p w:rsidR="00A06540" w:rsidRPr="00F16C33" w:rsidRDefault="00A06540" w:rsidP="00DB4B27">
        <w:pPr>
          <w:pStyle w:val="AltBilgi"/>
          <w:tabs>
            <w:tab w:val="clear" w:pos="9072"/>
          </w:tabs>
          <w:rPr>
            <w:b/>
            <w:color w:val="C00000"/>
            <w:sz w:val="18"/>
            <w:szCs w:val="18"/>
          </w:rPr>
        </w:pPr>
        <w:r w:rsidRPr="00F16C33">
          <w:rPr>
            <w:b/>
            <w:color w:val="C00000"/>
            <w:sz w:val="18"/>
            <w:szCs w:val="18"/>
          </w:rPr>
          <w:t>E-ISSN: 2149-0473</w:t>
        </w:r>
      </w:p>
      <w:p w:rsidR="00A06540" w:rsidRPr="00F16C33" w:rsidRDefault="00A06540" w:rsidP="00DB4B27">
        <w:pPr>
          <w:pStyle w:val="AltBilgi"/>
          <w:tabs>
            <w:tab w:val="clear" w:pos="9072"/>
            <w:tab w:val="left" w:pos="1701"/>
          </w:tabs>
          <w:spacing w:before="120"/>
          <w:rPr>
            <w:b/>
            <w:sz w:val="18"/>
            <w:szCs w:val="18"/>
          </w:rPr>
        </w:pPr>
        <w:r>
          <w:rPr>
            <w:b/>
            <w:sz w:val="18"/>
            <w:szCs w:val="18"/>
            <w:lang w:eastAsia="tr-TR"/>
          </w:rPr>
          <w:t>3</w:t>
        </w:r>
        <w:r w:rsidR="006F36D2">
          <w:rPr>
            <w:b/>
            <w:sz w:val="18"/>
            <w:szCs w:val="18"/>
          </w:rPr>
          <w:t xml:space="preserve">(2): 49-58 (2017)  </w:t>
        </w:r>
        <w:r w:rsidR="006F36D2">
          <w:rPr>
            <w:b/>
            <w:sz w:val="18"/>
            <w:szCs w:val="18"/>
          </w:rPr>
          <w:tab/>
          <w:t xml:space="preserve">doi: </w:t>
        </w:r>
        <w:proofErr w:type="gramStart"/>
        <w:r w:rsidR="006F36D2">
          <w:rPr>
            <w:b/>
            <w:sz w:val="18"/>
            <w:szCs w:val="18"/>
          </w:rPr>
          <w:t>10.3153</w:t>
        </w:r>
        <w:proofErr w:type="gramEnd"/>
        <w:r w:rsidR="006F36D2">
          <w:rPr>
            <w:b/>
            <w:sz w:val="18"/>
            <w:szCs w:val="18"/>
          </w:rPr>
          <w:t>/JFHS17007</w:t>
        </w:r>
      </w:p>
      <w:p w:rsidR="00A06540" w:rsidRPr="00A8159C" w:rsidRDefault="00A06540" w:rsidP="00DB4B27">
        <w:pPr>
          <w:pStyle w:val="AltBilgi"/>
          <w:tabs>
            <w:tab w:val="clear" w:pos="9072"/>
          </w:tabs>
          <w:spacing w:before="60"/>
          <w:rPr>
            <w:sz w:val="18"/>
            <w:szCs w:val="18"/>
          </w:rPr>
        </w:pPr>
        <w:r w:rsidRPr="00F16C33">
          <w:rPr>
            <w:b/>
            <w:sz w:val="18"/>
            <w:szCs w:val="18"/>
          </w:rPr>
          <w:t>© 2015</w:t>
        </w:r>
        <w:r>
          <w:rPr>
            <w:b/>
            <w:sz w:val="18"/>
            <w:szCs w:val="18"/>
          </w:rPr>
          <w:t>-2017</w:t>
        </w:r>
        <w:r w:rsidRPr="00F16C33">
          <w:rPr>
            <w:b/>
            <w:sz w:val="18"/>
            <w:szCs w:val="18"/>
          </w:rPr>
          <w:t xml:space="preserve"> ScientificWebJournals (SWJ)</w:t>
        </w:r>
        <w:r w:rsidRPr="00DB4B27">
          <w:rPr>
            <w:noProof/>
            <w:sz w:val="18"/>
            <w:szCs w:val="18"/>
            <w:lang w:eastAsia="tr-TR"/>
          </w:rPr>
          <mc:AlternateContent>
            <mc:Choice Requires="wps">
              <w:drawing>
                <wp:anchor distT="0" distB="0" distL="114300" distR="114300" simplePos="0" relativeHeight="25168179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06540" w:rsidRDefault="00A0654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82730" w:rsidRPr="00E82730">
                                <w:rPr>
                                  <w:noProof/>
                                  <w:color w:val="ED7D31" w:themeColor="accent2"/>
                                </w:rPr>
                                <w:t>49</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Dikdörtgen 4" o:spid="_x0000_s1028" style="position:absolute;margin-left:0;margin-top:0;width:44.55pt;height:15.1pt;rotation:180;flip:x;z-index:25168179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TYzgIAAMoFAAAOAAAAZHJzL2Uyb0RvYy54bWysVFuO0zAU/UdiD5b/M0k6TptUk45mkhaQ&#10;Cow0sAA3cRprEjvYbtMBsS02wMa4dvocfhCQj8iP63Mf59x7c7trG7RlSnMpUhxeBRgxUciSi3WK&#10;P39aeDFG2lBR0kYKluJnpvHt7PWrm76bspGsZVMyhQBE6Gnfpbg2ppv6vi5q1lJ9JTsm4LKSqqUG&#10;tmrtl4r2gN42/igIxn4vVdkpWTCt4TQfLvHM4VcVK8zHqtLMoCbFEJtxf+X+K/v3Zzd0ula0q3mx&#10;D4P+RRQt5QKcHqFyaijaKP4bVMsLJbWszFUhW19WFS+YywGyCYMX2TzWtGMuFyiO7o5l0v8Ptviw&#10;fVCIlykmGAnaAkU5fyp//lBmzQQitkB9p6dg99g9KJui7payeNJIyKymYs3ulJJ9zWgJYYXW3r94&#10;YDcanqJV/16WgE83Rrpa7SrVIiWBkzCIA/thVDW8e2txrCcoD9o5rp6PXLGdQQUcRuNoEkcYFXAV&#10;JuFk4rj06dSi2sed0uYNky2yixQrkIIDpdulNjbKk4k1F3LBm8bJoREXB2A4nIBreGrvbBCO3W9J&#10;kMzjeUw8MhrPPRLkuXe3yIg3XoSTKL/OsywPv1u/IZnWvCyZsG4OSgvJnzG51/ygkaPWtGx4aeFs&#10;SFqtV1mj0JaC0rMgCkjuuICbk5l/GYYrAuTyIqVwRIL7UeItxvHEIwsSeckkiL0gTO6TcUASki8u&#10;U1pywf49JdSneBRHk8jRdBb1i+SiLL6+d8IEZi7MWm5gmDS8TfFeT45Pq825KN3aUN4M67Na2PhP&#10;tQDUA9NOyVa8QxOY3WrnemV0aIuVLJ9B2k7EoF4YhCC1WqqvGPUwVFKsv2yoYhg17wS0RxISYqeQ&#10;28BCnZ+uDqdUFACRYoPRsMzMMLE2neLrGjwM7SHkHbRSxZ2abZsN0ewbEAaGy2k/3OxEOt87q9MI&#10;nv0C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UAHk2M4CAADKBQAADgAAAAAAAAAAAAAAAAAuAgAAZHJzL2Uyb0RvYy54bWxQ&#10;SwECLQAUAAYACAAAACEAI+V68dsAAAADAQAADwAAAAAAAAAAAAAAAAAoBQAAZHJzL2Rvd25yZXYu&#10;eG1sUEsFBgAAAAAEAAQA8wAAADAGAAAAAA==&#10;" filled="f" fillcolor="#c0504d" stroked="f" strokecolor="#5c83b4" strokeweight="2.25pt">
                  <v:textbox inset=",0,,0">
                    <w:txbxContent>
                      <w:p w:rsidR="00A06540" w:rsidRDefault="00A0654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82730" w:rsidRPr="00E82730">
                          <w:rPr>
                            <w:noProof/>
                            <w:color w:val="ED7D31" w:themeColor="accent2"/>
                          </w:rPr>
                          <w:t>49</w:t>
                        </w:r>
                        <w:r>
                          <w:rPr>
                            <w:color w:val="ED7D31" w:themeColor="accent2"/>
                          </w:rPr>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481133"/>
      <w:docPartObj>
        <w:docPartGallery w:val="Page Numbers (Bottom of Page)"/>
        <w:docPartUnique/>
      </w:docPartObj>
    </w:sdtPr>
    <w:sdtEndPr/>
    <w:sdtContent>
      <w:p w:rsidR="00A06540" w:rsidRDefault="00A06540">
        <w:pPr>
          <w:pStyle w:val="AltBilgi"/>
        </w:pPr>
        <w:r>
          <w:rPr>
            <w:noProof/>
            <w:lang w:eastAsia="tr-TR"/>
          </w:rPr>
          <mc:AlternateContent>
            <mc:Choice Requires="wps">
              <w:drawing>
                <wp:anchor distT="0" distB="0" distL="114300" distR="114300" simplePos="0" relativeHeight="25167974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06540" w:rsidRDefault="00A0654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82730" w:rsidRPr="00E82730">
                                <w:rPr>
                                  <w:noProof/>
                                  <w:color w:val="ED7D31" w:themeColor="accent2"/>
                                </w:rPr>
                                <w:t>51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Dikdörtgen 12" o:spid="_x0000_s1029" style="position:absolute;margin-left:0;margin-top:0;width:44.55pt;height:15.1pt;rotation:180;flip:x;z-index:2516797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cOzgIAAMwFAAAOAAAAZHJzL2Uyb0RvYy54bWysVF1unDAQfq/UO1h+J8DG7AIKGyWw21ZK&#10;20hpD+AFs1gFm9resGnVa/UCvVjHZn+Tl6otD8ieGc/f981cXW+7Fj0ypbkUGQ4vAoyYKGXFxTrD&#10;nz8tvRgjbaioaCsFy/AT0/h6/vrV1dCnbCIb2VZMIXAidDr0GW6M6VPf12XDOqovZM8EKGupOmrg&#10;qtZ+pegA3rvWnwTB1B+kqnolS6Y1SItRiefOf12z0nysa80MajMMuRn3V+6/sn9/fkXTtaJ9w8td&#10;GvQvsugoFxD04KqghqKN4i9cdbxUUsvaXJSy82Vd85K5GqCaMHhWzUNDe+Zqgebo/tAm/f/clh8e&#10;7xXiFWA3wUjQDjAq+Jfq109l1kwgkEKLhl6nYPnQ3ytbpO7vZPlFIyHzhoo1u1FKDg2jFSQWWnv/&#10;7IG9aHiKVsN7WUEAujHSdWtbqw4pCaiEQRzYD6O65f1b68dGggahrUPr6YAW2xpUgjCaRrM4wqgE&#10;VZiEs5lD06ep9Wof90qbN0x2yB4yrIAMzil9vNPGZnk0seZCLnnbOkK04kwAhqMEQsNTq7NJOHy/&#10;J0GyiBcx8chkuvBIUBTezTIn3nQZzqLissjzIvxh44YkbXhVMWHD7LkWkj/Dcsf6kSUHtmnZ8sq6&#10;sylptV7lrUKPFLieB1FACocFaI5m/nkarglQy7OSwgkJbieJt5zGM48sSeQlsyD2gjC5TaYBSUix&#10;PC/pjgv27yWhIcOTOJpFDqaTrJ8VF+Xx5S15WRxNO25gnbS8y/COTw5Py82FqNzZUN6O55Ne2PyP&#10;vQC890g7JlvyjkNgtqutm5bL/VisZPUE1HYkBvbCKgSqNVJ9w2iAtZJh/XVDFcOofSdgPJKQELuH&#10;3AUO6lS62kupKMFFhg1G4zE3487a9IqvG4gwjoeQNzBKNXdstmM2ZrMbQFgZrqbderM76fTurI5L&#10;eP4bAAD//wMAUEsDBBQABgAIAAAAIQAj5Xrx2wAAAAMBAAAPAAAAZHJzL2Rvd25yZXYueG1sTI9P&#10;S8NAEMXvQr/DMgVvdtNWpKaZFBEE8U+jVTxvs9MkmJ2N2W0bv31HL3oZeLzHe7/JVoNr1YH60HhG&#10;mE4SUMSltw1XCO9vdxcLUCEatqb1TAjfFGCVj84yk1p/5Fc6bGKlpIRDahDqGLtU61DW5EyY+I5Y&#10;vJ3vnYki+0rb3hyl3LV6liRX2pmGZaE2Hd3WVH5u9g7Bf3w92mLtnrUu1k/l/eX85aFgxPPxcLME&#10;FWmIf2H4wRd0yIVp6/dsg2oR5JH4e8VbXE9BbRHmyQx0nun/7PkJAAD//wMAUEsBAi0AFAAGAAgA&#10;AAAhALaDOJL+AAAA4QEAABMAAAAAAAAAAAAAAAAAAAAAAFtDb250ZW50X1R5cGVzXS54bWxQSwEC&#10;LQAUAAYACAAAACEAOP0h/9YAAACUAQAACwAAAAAAAAAAAAAAAAAvAQAAX3JlbHMvLnJlbHNQSwEC&#10;LQAUAAYACAAAACEA8UeXDs4CAADMBQAADgAAAAAAAAAAAAAAAAAuAgAAZHJzL2Uyb0RvYy54bWxQ&#10;SwECLQAUAAYACAAAACEAI+V68dsAAAADAQAADwAAAAAAAAAAAAAAAAAoBQAAZHJzL2Rvd25yZXYu&#10;eG1sUEsFBgAAAAAEAAQA8wAAADAGAAAAAA==&#10;" filled="f" fillcolor="#c0504d" stroked="f" strokecolor="#5c83b4" strokeweight="2.25pt">
                  <v:textbox inset=",0,,0">
                    <w:txbxContent>
                      <w:p w:rsidR="00A06540" w:rsidRDefault="00A0654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82730" w:rsidRPr="00E82730">
                          <w:rPr>
                            <w:noProof/>
                            <w:color w:val="ED7D31" w:themeColor="accent2"/>
                          </w:rPr>
                          <w:t>51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0A5" w:rsidRDefault="00F520A5">
      <w:r>
        <w:separator/>
      </w:r>
    </w:p>
  </w:footnote>
  <w:footnote w:type="continuationSeparator" w:id="0">
    <w:p w:rsidR="00F520A5" w:rsidRDefault="00F5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540" w:rsidRPr="008D6BF7" w:rsidRDefault="00A06540" w:rsidP="00E82730">
    <w:pPr>
      <w:pStyle w:val="stBilgi"/>
      <w:tabs>
        <w:tab w:val="clear" w:pos="9072"/>
      </w:tabs>
      <w:ind w:right="-2"/>
      <w:jc w:val="center"/>
      <w:rPr>
        <w:rFonts w:ascii="Verdana" w:hAnsi="Verdana"/>
        <w:b/>
        <w:sz w:val="18"/>
        <w:szCs w:val="18"/>
      </w:rPr>
    </w:pPr>
    <w:r w:rsidRPr="008D6BF7">
      <w:rPr>
        <w:rFonts w:ascii="Verdana" w:hAnsi="Verdana"/>
        <w:b/>
        <w:sz w:val="18"/>
        <w:szCs w:val="18"/>
      </w:rPr>
      <w:t xml:space="preserve">Journal </w:t>
    </w:r>
    <w:r>
      <w:rPr>
        <w:rFonts w:ascii="Verdana" w:hAnsi="Verdana"/>
        <w:b/>
        <w:sz w:val="18"/>
        <w:szCs w:val="18"/>
      </w:rPr>
      <w:t>of Food and Health</w:t>
    </w:r>
    <w:r w:rsidR="00E82730">
      <w:rPr>
        <w:rFonts w:ascii="Verdana" w:hAnsi="Verdana"/>
        <w:b/>
        <w:sz w:val="18"/>
        <w:szCs w:val="18"/>
      </w:rPr>
      <w:t xml:space="preserve"> Science</w:t>
    </w:r>
    <w:r>
      <w:rPr>
        <w:rFonts w:ascii="Verdana" w:hAnsi="Verdana" w:cs="Plantin"/>
        <w:b/>
        <w:sz w:val="18"/>
        <w:szCs w:val="18"/>
        <w:lang w:eastAsia="tr-TR"/>
      </w:rPr>
      <w:t>, 3</w:t>
    </w:r>
    <w:r w:rsidR="002773F1">
      <w:rPr>
        <w:rFonts w:ascii="Verdana" w:hAnsi="Verdana"/>
        <w:b/>
        <w:sz w:val="18"/>
        <w:szCs w:val="18"/>
      </w:rPr>
      <w:t>(2): 49-58</w:t>
    </w:r>
    <w:r>
      <w:rPr>
        <w:rFonts w:ascii="Verdana" w:hAnsi="Verdana"/>
        <w:b/>
        <w:sz w:val="18"/>
        <w:szCs w:val="18"/>
      </w:rPr>
      <w:t xml:space="preserve"> (2017</w:t>
    </w:r>
    <w:r w:rsidRPr="005C05C8">
      <w:rPr>
        <w:rFonts w:ascii="Verdana" w:hAnsi="Verdana"/>
        <w:b/>
        <w:sz w:val="18"/>
        <w:szCs w:val="18"/>
      </w:rPr>
      <w:t>)</w:t>
    </w:r>
  </w:p>
  <w:p w:rsidR="00A06540" w:rsidRPr="008D6BF7" w:rsidRDefault="00A06540" w:rsidP="00753428">
    <w:pPr>
      <w:pStyle w:val="stBilgi"/>
      <w:tabs>
        <w:tab w:val="clear" w:pos="9072"/>
      </w:tabs>
      <w:ind w:right="-2"/>
      <w:rPr>
        <w:rFonts w:ascii="Verdana" w:hAnsi="Verdana"/>
        <w:b/>
        <w:sz w:val="18"/>
        <w:szCs w:val="18"/>
      </w:rPr>
    </w:pPr>
  </w:p>
  <w:p w:rsidR="00A06540" w:rsidRDefault="00A06540" w:rsidP="008D6BF7">
    <w:pPr>
      <w:pStyle w:val="stBilgi"/>
      <w:jc w:val="center"/>
      <w:rPr>
        <w:rFonts w:ascii="Verdana" w:hAnsi="Verdana"/>
        <w:b/>
        <w:bCs/>
        <w:sz w:val="16"/>
        <w:szCs w:val="16"/>
      </w:rPr>
    </w:pPr>
    <w:r>
      <w:rPr>
        <w:rFonts w:ascii="Verdana" w:hAnsi="Verdana"/>
        <w:sz w:val="16"/>
        <w:szCs w:val="16"/>
      </w:rPr>
      <w:t xml:space="preserve">Journal abbreviation: </w:t>
    </w:r>
    <w:r>
      <w:rPr>
        <w:rFonts w:ascii="Verdana" w:hAnsi="Verdana"/>
        <w:b/>
        <w:bCs/>
        <w:sz w:val="16"/>
        <w:szCs w:val="16"/>
      </w:rPr>
      <w:t>J Food Health Sci</w:t>
    </w:r>
  </w:p>
  <w:p w:rsidR="00A06540" w:rsidRPr="00EE11A4" w:rsidRDefault="00A06540" w:rsidP="008D6BF7">
    <w:pPr>
      <w:pStyle w:val="stBilgi"/>
      <w:jc w:val="center"/>
      <w:rPr>
        <w:rFonts w:ascii="Verdana" w:hAnsi="Verdana"/>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30" w:rsidRPr="008D6BF7" w:rsidRDefault="00E82730" w:rsidP="00E82730">
    <w:pPr>
      <w:pStyle w:val="stBilgi"/>
      <w:tabs>
        <w:tab w:val="clear" w:pos="9072"/>
      </w:tabs>
      <w:ind w:right="-2"/>
      <w:jc w:val="center"/>
      <w:rPr>
        <w:rFonts w:ascii="Verdana" w:hAnsi="Verdana"/>
        <w:b/>
        <w:sz w:val="18"/>
        <w:szCs w:val="18"/>
      </w:rPr>
    </w:pPr>
    <w:r>
      <w:rPr>
        <w:rFonts w:ascii="Verdana" w:hAnsi="Verdana"/>
        <w:b/>
        <w:sz w:val="18"/>
        <w:szCs w:val="18"/>
      </w:rPr>
      <w:t>Jour</w:t>
    </w:r>
    <w:r w:rsidRPr="008D6BF7">
      <w:rPr>
        <w:rFonts w:ascii="Verdana" w:hAnsi="Verdana"/>
        <w:b/>
        <w:sz w:val="18"/>
        <w:szCs w:val="18"/>
      </w:rPr>
      <w:t xml:space="preserve">nal </w:t>
    </w:r>
    <w:r>
      <w:rPr>
        <w:rFonts w:ascii="Verdana" w:hAnsi="Verdana"/>
        <w:b/>
        <w:sz w:val="18"/>
        <w:szCs w:val="18"/>
      </w:rPr>
      <w:t>of Food and Health Science</w:t>
    </w:r>
    <w:r>
      <w:rPr>
        <w:rFonts w:ascii="Verdana" w:hAnsi="Verdana" w:cs="Plantin"/>
        <w:b/>
        <w:sz w:val="18"/>
        <w:szCs w:val="18"/>
        <w:lang w:eastAsia="tr-TR"/>
      </w:rPr>
      <w:t>, 3</w:t>
    </w:r>
    <w:r>
      <w:rPr>
        <w:rFonts w:ascii="Verdana" w:hAnsi="Verdana"/>
        <w:b/>
        <w:sz w:val="18"/>
        <w:szCs w:val="18"/>
      </w:rPr>
      <w:t>(2): 49-58 (2017</w:t>
    </w:r>
    <w:r w:rsidRPr="005C05C8">
      <w:rPr>
        <w:rFonts w:ascii="Verdana" w:hAnsi="Verdana"/>
        <w:b/>
        <w:sz w:val="18"/>
        <w:szCs w:val="18"/>
      </w:rPr>
      <w:t>)</w:t>
    </w:r>
  </w:p>
  <w:p w:rsidR="00A06540" w:rsidRPr="008D6BF7" w:rsidRDefault="00A06540" w:rsidP="001E6087">
    <w:pPr>
      <w:pStyle w:val="stBilgi"/>
      <w:tabs>
        <w:tab w:val="clear" w:pos="9072"/>
      </w:tabs>
      <w:ind w:right="-2"/>
      <w:rPr>
        <w:rFonts w:ascii="Verdana" w:hAnsi="Verdana"/>
        <w:b/>
        <w:sz w:val="18"/>
        <w:szCs w:val="18"/>
      </w:rPr>
    </w:pPr>
  </w:p>
  <w:p w:rsidR="00A06540" w:rsidRDefault="00A06540" w:rsidP="001E6087">
    <w:pPr>
      <w:pStyle w:val="stBilgi"/>
      <w:jc w:val="center"/>
      <w:rPr>
        <w:rFonts w:ascii="Verdana" w:hAnsi="Verdana"/>
        <w:b/>
        <w:bCs/>
        <w:sz w:val="16"/>
        <w:szCs w:val="16"/>
      </w:rPr>
    </w:pPr>
    <w:r>
      <w:rPr>
        <w:rFonts w:ascii="Verdana" w:hAnsi="Verdana"/>
        <w:sz w:val="16"/>
        <w:szCs w:val="16"/>
      </w:rPr>
      <w:t xml:space="preserve">Journal abbreviation: </w:t>
    </w:r>
    <w:r>
      <w:rPr>
        <w:rFonts w:ascii="Verdana" w:hAnsi="Verdana"/>
        <w:b/>
        <w:bCs/>
        <w:sz w:val="16"/>
        <w:szCs w:val="16"/>
      </w:rPr>
      <w:t>J Food Health Sci</w:t>
    </w:r>
  </w:p>
  <w:p w:rsidR="00A06540" w:rsidRPr="008D6BF7" w:rsidRDefault="00A06540" w:rsidP="008D6BF7">
    <w:pPr>
      <w:pStyle w:val="stBilgi"/>
      <w:jc w:val="center"/>
      <w:rPr>
        <w:rFonts w:ascii="Verdana" w:hAnsi="Verdana"/>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540" w:rsidRDefault="00BF447C" w:rsidP="00845D9A">
    <w:pPr>
      <w:pStyle w:val="stBilgi"/>
      <w:tabs>
        <w:tab w:val="clear" w:pos="9072"/>
      </w:tabs>
      <w:spacing w:before="360"/>
      <w:jc w:val="center"/>
      <w:rPr>
        <w:rFonts w:ascii="Verdana" w:hAnsi="Verdana"/>
        <w:b/>
        <w:sz w:val="18"/>
        <w:szCs w:val="18"/>
      </w:rPr>
    </w:pPr>
    <w:r>
      <w:rPr>
        <w:rFonts w:ascii="Verdana" w:hAnsi="Verdana"/>
        <w:b/>
        <w:noProof/>
        <w:sz w:val="18"/>
        <w:szCs w:val="18"/>
        <w:lang w:eastAsia="tr-TR"/>
      </w:rPr>
      <w:drawing>
        <wp:inline distT="0" distB="0" distL="0" distR="0">
          <wp:extent cx="5760720" cy="1229995"/>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şlık üstü.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229995"/>
                  </a:xfrm>
                  <a:prstGeom prst="rect">
                    <a:avLst/>
                  </a:prstGeom>
                </pic:spPr>
              </pic:pic>
            </a:graphicData>
          </a:graphic>
        </wp:inline>
      </w:drawing>
    </w:r>
  </w:p>
  <w:p w:rsidR="00A06540" w:rsidRPr="00375576" w:rsidRDefault="00A06540" w:rsidP="00E31A6F">
    <w:pPr>
      <w:pStyle w:val="stBilgi"/>
      <w:tabs>
        <w:tab w:val="clear" w:pos="9072"/>
      </w:tabs>
      <w:spacing w:before="120"/>
      <w:rPr>
        <w:sz w:val="14"/>
        <w:szCs w:val="14"/>
      </w:rPr>
    </w:pPr>
    <w:r>
      <w:rPr>
        <w:rFonts w:ascii="Verdana" w:hAnsi="Verdana"/>
        <w:b/>
        <w:sz w:val="18"/>
        <w:szCs w:val="18"/>
      </w:rPr>
      <w:t xml:space="preserve">REVIEW </w:t>
    </w:r>
    <w:r w:rsidRPr="003B0C6F">
      <w:rPr>
        <w:rFonts w:ascii="Verdana" w:hAnsi="Verdana"/>
        <w:b/>
        <w:sz w:val="18"/>
        <w:szCs w:val="18"/>
      </w:rPr>
      <w:t>ARTICLE</w:t>
    </w:r>
    <w:r>
      <w:rPr>
        <w:rFonts w:ascii="Verdana" w:hAnsi="Verdana" w:cs="QuarumBold"/>
        <w:b/>
        <w:bCs/>
        <w:sz w:val="18"/>
        <w:szCs w:val="18"/>
        <w:lang w:eastAsia="tr-TR"/>
      </w:rPr>
      <w:t xml:space="preserve"> </w:t>
    </w:r>
    <w:r>
      <w:rPr>
        <w:rFonts w:ascii="Verdana" w:hAnsi="Verdana" w:cs="QuarumBold"/>
        <w:b/>
        <w:bCs/>
        <w:sz w:val="18"/>
        <w:szCs w:val="18"/>
        <w:lang w:eastAsia="tr-TR"/>
      </w:rPr>
      <w:tab/>
    </w:r>
    <w:r>
      <w:rPr>
        <w:rFonts w:ascii="Verdana" w:hAnsi="Verdana" w:cs="QuarumBold"/>
        <w:b/>
        <w:bCs/>
        <w:sz w:val="18"/>
        <w:szCs w:val="18"/>
        <w:lang w:eastAsia="tr-TR"/>
      </w:rPr>
      <w:tab/>
      <w:t xml:space="preserve">                                 DERLEME MAKALESİ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88F67CB"/>
    <w:multiLevelType w:val="hybridMultilevel"/>
    <w:tmpl w:val="DEC83EF4"/>
    <w:lvl w:ilvl="0" w:tplc="F0D8153E">
      <w:start w:val="1"/>
      <w:numFmt w:val="decimal"/>
      <w:pStyle w:val="Tablo"/>
      <w:lvlText w:val="Tablo %1."/>
      <w:lvlJc w:val="left"/>
      <w:pPr>
        <w:ind w:left="360" w:hanging="36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BE"/>
    <w:rsid w:val="00003F27"/>
    <w:rsid w:val="00007E63"/>
    <w:rsid w:val="00011547"/>
    <w:rsid w:val="00020178"/>
    <w:rsid w:val="000223BF"/>
    <w:rsid w:val="00022787"/>
    <w:rsid w:val="000230A3"/>
    <w:rsid w:val="000342D2"/>
    <w:rsid w:val="00034ADD"/>
    <w:rsid w:val="00040D49"/>
    <w:rsid w:val="0004169E"/>
    <w:rsid w:val="00051AC7"/>
    <w:rsid w:val="00052BC1"/>
    <w:rsid w:val="00060805"/>
    <w:rsid w:val="00067117"/>
    <w:rsid w:val="00067425"/>
    <w:rsid w:val="000679B3"/>
    <w:rsid w:val="000729D7"/>
    <w:rsid w:val="00073865"/>
    <w:rsid w:val="0007546C"/>
    <w:rsid w:val="00082EA4"/>
    <w:rsid w:val="000834D7"/>
    <w:rsid w:val="00083A56"/>
    <w:rsid w:val="000932AF"/>
    <w:rsid w:val="00093DC5"/>
    <w:rsid w:val="000973F5"/>
    <w:rsid w:val="000A04F2"/>
    <w:rsid w:val="000A47B4"/>
    <w:rsid w:val="000B02E9"/>
    <w:rsid w:val="000B53E9"/>
    <w:rsid w:val="000B5A0A"/>
    <w:rsid w:val="000C0FC5"/>
    <w:rsid w:val="000D17A3"/>
    <w:rsid w:val="000D4E23"/>
    <w:rsid w:val="000E65F3"/>
    <w:rsid w:val="000F02C9"/>
    <w:rsid w:val="000F2617"/>
    <w:rsid w:val="000F41BD"/>
    <w:rsid w:val="000F7346"/>
    <w:rsid w:val="001043CA"/>
    <w:rsid w:val="0010548E"/>
    <w:rsid w:val="00105508"/>
    <w:rsid w:val="001065F8"/>
    <w:rsid w:val="0011278E"/>
    <w:rsid w:val="001133F9"/>
    <w:rsid w:val="001177B2"/>
    <w:rsid w:val="00122849"/>
    <w:rsid w:val="00123F9D"/>
    <w:rsid w:val="00136135"/>
    <w:rsid w:val="001438C1"/>
    <w:rsid w:val="00143ECA"/>
    <w:rsid w:val="00150063"/>
    <w:rsid w:val="00154ABA"/>
    <w:rsid w:val="001570E7"/>
    <w:rsid w:val="001605A5"/>
    <w:rsid w:val="00161122"/>
    <w:rsid w:val="00162EFD"/>
    <w:rsid w:val="00164B18"/>
    <w:rsid w:val="001666DE"/>
    <w:rsid w:val="00167607"/>
    <w:rsid w:val="001764A5"/>
    <w:rsid w:val="00180A33"/>
    <w:rsid w:val="00182579"/>
    <w:rsid w:val="001828CC"/>
    <w:rsid w:val="001851A1"/>
    <w:rsid w:val="0018717B"/>
    <w:rsid w:val="00196B62"/>
    <w:rsid w:val="00197140"/>
    <w:rsid w:val="001A0D1F"/>
    <w:rsid w:val="001A1D7D"/>
    <w:rsid w:val="001A6D7D"/>
    <w:rsid w:val="001A7651"/>
    <w:rsid w:val="001B106F"/>
    <w:rsid w:val="001B5F26"/>
    <w:rsid w:val="001B62AA"/>
    <w:rsid w:val="001B6864"/>
    <w:rsid w:val="001C2C94"/>
    <w:rsid w:val="001C3C41"/>
    <w:rsid w:val="001C5C8D"/>
    <w:rsid w:val="001C68BE"/>
    <w:rsid w:val="001D0351"/>
    <w:rsid w:val="001D367C"/>
    <w:rsid w:val="001D4E6A"/>
    <w:rsid w:val="001D68BB"/>
    <w:rsid w:val="001E6087"/>
    <w:rsid w:val="001E6BD6"/>
    <w:rsid w:val="001F4B02"/>
    <w:rsid w:val="001F6316"/>
    <w:rsid w:val="00201125"/>
    <w:rsid w:val="002020A5"/>
    <w:rsid w:val="00203E34"/>
    <w:rsid w:val="0020448D"/>
    <w:rsid w:val="00210D47"/>
    <w:rsid w:val="00221DE3"/>
    <w:rsid w:val="00224813"/>
    <w:rsid w:val="002260D2"/>
    <w:rsid w:val="0022622A"/>
    <w:rsid w:val="00227722"/>
    <w:rsid w:val="00242898"/>
    <w:rsid w:val="00243DE1"/>
    <w:rsid w:val="00246123"/>
    <w:rsid w:val="00246BE3"/>
    <w:rsid w:val="002541FF"/>
    <w:rsid w:val="00254527"/>
    <w:rsid w:val="00254B5E"/>
    <w:rsid w:val="0026119D"/>
    <w:rsid w:val="00267784"/>
    <w:rsid w:val="00272344"/>
    <w:rsid w:val="00277380"/>
    <w:rsid w:val="002773F1"/>
    <w:rsid w:val="00280AF0"/>
    <w:rsid w:val="00294CD7"/>
    <w:rsid w:val="002A4450"/>
    <w:rsid w:val="002A6B7D"/>
    <w:rsid w:val="002B147A"/>
    <w:rsid w:val="002B5CDA"/>
    <w:rsid w:val="002C10D1"/>
    <w:rsid w:val="002D1C23"/>
    <w:rsid w:val="002D2803"/>
    <w:rsid w:val="002D538C"/>
    <w:rsid w:val="002D6C4E"/>
    <w:rsid w:val="002E275C"/>
    <w:rsid w:val="002E4AD7"/>
    <w:rsid w:val="002F0B3A"/>
    <w:rsid w:val="002F1E34"/>
    <w:rsid w:val="00302429"/>
    <w:rsid w:val="003060EB"/>
    <w:rsid w:val="00315498"/>
    <w:rsid w:val="00320D05"/>
    <w:rsid w:val="00325CAE"/>
    <w:rsid w:val="003564FC"/>
    <w:rsid w:val="003716BA"/>
    <w:rsid w:val="003716C2"/>
    <w:rsid w:val="00375576"/>
    <w:rsid w:val="00377ED6"/>
    <w:rsid w:val="00391CE3"/>
    <w:rsid w:val="00396496"/>
    <w:rsid w:val="003A0052"/>
    <w:rsid w:val="003A0312"/>
    <w:rsid w:val="003A5FFE"/>
    <w:rsid w:val="003A71DD"/>
    <w:rsid w:val="003B745E"/>
    <w:rsid w:val="003C68CE"/>
    <w:rsid w:val="003D29EA"/>
    <w:rsid w:val="003D59D1"/>
    <w:rsid w:val="003D756E"/>
    <w:rsid w:val="003E5BC1"/>
    <w:rsid w:val="003F21A6"/>
    <w:rsid w:val="003F3231"/>
    <w:rsid w:val="003F32EF"/>
    <w:rsid w:val="00403312"/>
    <w:rsid w:val="00403AA4"/>
    <w:rsid w:val="00403CF5"/>
    <w:rsid w:val="00406134"/>
    <w:rsid w:val="00410673"/>
    <w:rsid w:val="004300B3"/>
    <w:rsid w:val="004351A4"/>
    <w:rsid w:val="00436D52"/>
    <w:rsid w:val="00440CF3"/>
    <w:rsid w:val="004413AF"/>
    <w:rsid w:val="0045198C"/>
    <w:rsid w:val="00452883"/>
    <w:rsid w:val="00454D4D"/>
    <w:rsid w:val="00463D0D"/>
    <w:rsid w:val="004732C4"/>
    <w:rsid w:val="00474691"/>
    <w:rsid w:val="00490439"/>
    <w:rsid w:val="004A61F3"/>
    <w:rsid w:val="004B2372"/>
    <w:rsid w:val="004B2655"/>
    <w:rsid w:val="004B3756"/>
    <w:rsid w:val="004B5A26"/>
    <w:rsid w:val="004B623E"/>
    <w:rsid w:val="004C0183"/>
    <w:rsid w:val="004C2DD0"/>
    <w:rsid w:val="004C3486"/>
    <w:rsid w:val="004C439B"/>
    <w:rsid w:val="004C4FCB"/>
    <w:rsid w:val="004C7265"/>
    <w:rsid w:val="004D0DAD"/>
    <w:rsid w:val="004D33CC"/>
    <w:rsid w:val="004E5CF2"/>
    <w:rsid w:val="004E7E64"/>
    <w:rsid w:val="0051069C"/>
    <w:rsid w:val="00523389"/>
    <w:rsid w:val="005234DF"/>
    <w:rsid w:val="00530A77"/>
    <w:rsid w:val="00550D0A"/>
    <w:rsid w:val="00552BDE"/>
    <w:rsid w:val="00553DCB"/>
    <w:rsid w:val="00555380"/>
    <w:rsid w:val="005610F3"/>
    <w:rsid w:val="0056246A"/>
    <w:rsid w:val="00562FC1"/>
    <w:rsid w:val="00567371"/>
    <w:rsid w:val="005712AD"/>
    <w:rsid w:val="00585A6A"/>
    <w:rsid w:val="005872CC"/>
    <w:rsid w:val="00587BBA"/>
    <w:rsid w:val="00591090"/>
    <w:rsid w:val="00595742"/>
    <w:rsid w:val="005B04BA"/>
    <w:rsid w:val="005B1028"/>
    <w:rsid w:val="005B39F1"/>
    <w:rsid w:val="005B46B8"/>
    <w:rsid w:val="005B61FA"/>
    <w:rsid w:val="005C05C8"/>
    <w:rsid w:val="005C3972"/>
    <w:rsid w:val="005D0104"/>
    <w:rsid w:val="005D06A0"/>
    <w:rsid w:val="005D4C13"/>
    <w:rsid w:val="005E3B4F"/>
    <w:rsid w:val="005E4F73"/>
    <w:rsid w:val="005F38C8"/>
    <w:rsid w:val="005F62D1"/>
    <w:rsid w:val="005F6C8A"/>
    <w:rsid w:val="0060011F"/>
    <w:rsid w:val="00603524"/>
    <w:rsid w:val="00605014"/>
    <w:rsid w:val="0060556D"/>
    <w:rsid w:val="006127B3"/>
    <w:rsid w:val="006164BC"/>
    <w:rsid w:val="0062124F"/>
    <w:rsid w:val="00621F1D"/>
    <w:rsid w:val="00622C93"/>
    <w:rsid w:val="00623EBF"/>
    <w:rsid w:val="00627166"/>
    <w:rsid w:val="00631D8A"/>
    <w:rsid w:val="006430E9"/>
    <w:rsid w:val="00646F7F"/>
    <w:rsid w:val="00647F50"/>
    <w:rsid w:val="0065451A"/>
    <w:rsid w:val="00657218"/>
    <w:rsid w:val="00657782"/>
    <w:rsid w:val="006651EE"/>
    <w:rsid w:val="0066740A"/>
    <w:rsid w:val="00676C14"/>
    <w:rsid w:val="00682A94"/>
    <w:rsid w:val="00692490"/>
    <w:rsid w:val="006935F8"/>
    <w:rsid w:val="00694117"/>
    <w:rsid w:val="0069694D"/>
    <w:rsid w:val="006A3A6D"/>
    <w:rsid w:val="006A4D69"/>
    <w:rsid w:val="006A51F9"/>
    <w:rsid w:val="006B32F1"/>
    <w:rsid w:val="006B5A24"/>
    <w:rsid w:val="006C769B"/>
    <w:rsid w:val="006D3D30"/>
    <w:rsid w:val="006D4230"/>
    <w:rsid w:val="006E0390"/>
    <w:rsid w:val="006E0E19"/>
    <w:rsid w:val="006E1598"/>
    <w:rsid w:val="006E7018"/>
    <w:rsid w:val="006F0318"/>
    <w:rsid w:val="006F05E9"/>
    <w:rsid w:val="006F36D2"/>
    <w:rsid w:val="006F6803"/>
    <w:rsid w:val="00700D9B"/>
    <w:rsid w:val="0071028F"/>
    <w:rsid w:val="00711758"/>
    <w:rsid w:val="0073752A"/>
    <w:rsid w:val="00741D5C"/>
    <w:rsid w:val="00746959"/>
    <w:rsid w:val="00746FB7"/>
    <w:rsid w:val="007516C7"/>
    <w:rsid w:val="007516E2"/>
    <w:rsid w:val="00753428"/>
    <w:rsid w:val="00754C58"/>
    <w:rsid w:val="00754DAD"/>
    <w:rsid w:val="007610FC"/>
    <w:rsid w:val="00770E33"/>
    <w:rsid w:val="00771DBB"/>
    <w:rsid w:val="00772F0B"/>
    <w:rsid w:val="00780997"/>
    <w:rsid w:val="00781B79"/>
    <w:rsid w:val="00787146"/>
    <w:rsid w:val="007A1BD1"/>
    <w:rsid w:val="007A6EC7"/>
    <w:rsid w:val="007B3B2F"/>
    <w:rsid w:val="007B48E1"/>
    <w:rsid w:val="007B7387"/>
    <w:rsid w:val="007B7DA9"/>
    <w:rsid w:val="007C073E"/>
    <w:rsid w:val="007C34A0"/>
    <w:rsid w:val="007C38E3"/>
    <w:rsid w:val="007D0FCF"/>
    <w:rsid w:val="007D1504"/>
    <w:rsid w:val="007D2D63"/>
    <w:rsid w:val="007E440F"/>
    <w:rsid w:val="007E6A61"/>
    <w:rsid w:val="007E70F1"/>
    <w:rsid w:val="007F073C"/>
    <w:rsid w:val="008166FB"/>
    <w:rsid w:val="008200D1"/>
    <w:rsid w:val="00831EEE"/>
    <w:rsid w:val="008347AC"/>
    <w:rsid w:val="008421ED"/>
    <w:rsid w:val="00845D9A"/>
    <w:rsid w:val="00852427"/>
    <w:rsid w:val="0085491B"/>
    <w:rsid w:val="00856D6A"/>
    <w:rsid w:val="00863937"/>
    <w:rsid w:val="0087159E"/>
    <w:rsid w:val="00871954"/>
    <w:rsid w:val="0087554B"/>
    <w:rsid w:val="00880779"/>
    <w:rsid w:val="00880875"/>
    <w:rsid w:val="00883D3D"/>
    <w:rsid w:val="00886564"/>
    <w:rsid w:val="0088724A"/>
    <w:rsid w:val="0089592F"/>
    <w:rsid w:val="008A7EBC"/>
    <w:rsid w:val="008B34F2"/>
    <w:rsid w:val="008B4F41"/>
    <w:rsid w:val="008B6A2E"/>
    <w:rsid w:val="008B7E04"/>
    <w:rsid w:val="008D5719"/>
    <w:rsid w:val="008D6BF7"/>
    <w:rsid w:val="008F1F97"/>
    <w:rsid w:val="008F2A51"/>
    <w:rsid w:val="008F5464"/>
    <w:rsid w:val="00900AB7"/>
    <w:rsid w:val="00907744"/>
    <w:rsid w:val="009228E5"/>
    <w:rsid w:val="009232D4"/>
    <w:rsid w:val="0093008C"/>
    <w:rsid w:val="0093478A"/>
    <w:rsid w:val="00934DF1"/>
    <w:rsid w:val="00952562"/>
    <w:rsid w:val="00954035"/>
    <w:rsid w:val="009551A0"/>
    <w:rsid w:val="009625A9"/>
    <w:rsid w:val="00966328"/>
    <w:rsid w:val="009700D4"/>
    <w:rsid w:val="009713BD"/>
    <w:rsid w:val="00971AFE"/>
    <w:rsid w:val="009731CC"/>
    <w:rsid w:val="009751A3"/>
    <w:rsid w:val="00977044"/>
    <w:rsid w:val="009853A7"/>
    <w:rsid w:val="00992891"/>
    <w:rsid w:val="009B1900"/>
    <w:rsid w:val="009C039D"/>
    <w:rsid w:val="009C4777"/>
    <w:rsid w:val="009C53AE"/>
    <w:rsid w:val="009C5ED7"/>
    <w:rsid w:val="009C67EB"/>
    <w:rsid w:val="009D18A8"/>
    <w:rsid w:val="009D4185"/>
    <w:rsid w:val="009D7EF6"/>
    <w:rsid w:val="009E5C39"/>
    <w:rsid w:val="009F459B"/>
    <w:rsid w:val="00A06540"/>
    <w:rsid w:val="00A141CB"/>
    <w:rsid w:val="00A226D6"/>
    <w:rsid w:val="00A25F19"/>
    <w:rsid w:val="00A34186"/>
    <w:rsid w:val="00A37C23"/>
    <w:rsid w:val="00A37E41"/>
    <w:rsid w:val="00A41B90"/>
    <w:rsid w:val="00A467FD"/>
    <w:rsid w:val="00A47A62"/>
    <w:rsid w:val="00A5387A"/>
    <w:rsid w:val="00A53F9F"/>
    <w:rsid w:val="00A556B0"/>
    <w:rsid w:val="00A57F4A"/>
    <w:rsid w:val="00A62491"/>
    <w:rsid w:val="00A64BFF"/>
    <w:rsid w:val="00A763FE"/>
    <w:rsid w:val="00A7775D"/>
    <w:rsid w:val="00A77885"/>
    <w:rsid w:val="00A80954"/>
    <w:rsid w:val="00A8159C"/>
    <w:rsid w:val="00A81CBD"/>
    <w:rsid w:val="00A8520B"/>
    <w:rsid w:val="00A91A3E"/>
    <w:rsid w:val="00A93E23"/>
    <w:rsid w:val="00A96B3E"/>
    <w:rsid w:val="00A97DCB"/>
    <w:rsid w:val="00AA5A70"/>
    <w:rsid w:val="00AB0BE7"/>
    <w:rsid w:val="00AB7C0D"/>
    <w:rsid w:val="00AD03A2"/>
    <w:rsid w:val="00AD057A"/>
    <w:rsid w:val="00AD1053"/>
    <w:rsid w:val="00AD5D1F"/>
    <w:rsid w:val="00AD6042"/>
    <w:rsid w:val="00AE3A4B"/>
    <w:rsid w:val="00AF2FB0"/>
    <w:rsid w:val="00B01F42"/>
    <w:rsid w:val="00B067C4"/>
    <w:rsid w:val="00B159C1"/>
    <w:rsid w:val="00B221FD"/>
    <w:rsid w:val="00B23038"/>
    <w:rsid w:val="00B277F0"/>
    <w:rsid w:val="00B308AC"/>
    <w:rsid w:val="00B322BF"/>
    <w:rsid w:val="00B33C5C"/>
    <w:rsid w:val="00B33F23"/>
    <w:rsid w:val="00B3499D"/>
    <w:rsid w:val="00B439BB"/>
    <w:rsid w:val="00B51754"/>
    <w:rsid w:val="00B5289A"/>
    <w:rsid w:val="00B5472E"/>
    <w:rsid w:val="00B610FB"/>
    <w:rsid w:val="00B61311"/>
    <w:rsid w:val="00B63FAD"/>
    <w:rsid w:val="00B76B7A"/>
    <w:rsid w:val="00B76D88"/>
    <w:rsid w:val="00B8338F"/>
    <w:rsid w:val="00B900B3"/>
    <w:rsid w:val="00B955A9"/>
    <w:rsid w:val="00B96DB2"/>
    <w:rsid w:val="00BA7A1E"/>
    <w:rsid w:val="00BB13C1"/>
    <w:rsid w:val="00BB29C6"/>
    <w:rsid w:val="00BB3183"/>
    <w:rsid w:val="00BC017D"/>
    <w:rsid w:val="00BC3BDA"/>
    <w:rsid w:val="00BC788F"/>
    <w:rsid w:val="00BC78A2"/>
    <w:rsid w:val="00BD016A"/>
    <w:rsid w:val="00BD09B0"/>
    <w:rsid w:val="00BE41F6"/>
    <w:rsid w:val="00BE5BDD"/>
    <w:rsid w:val="00BF1758"/>
    <w:rsid w:val="00BF1C1C"/>
    <w:rsid w:val="00BF447C"/>
    <w:rsid w:val="00BF595A"/>
    <w:rsid w:val="00C040B4"/>
    <w:rsid w:val="00C04223"/>
    <w:rsid w:val="00C042A0"/>
    <w:rsid w:val="00C05110"/>
    <w:rsid w:val="00C0705B"/>
    <w:rsid w:val="00C110DC"/>
    <w:rsid w:val="00C14AA8"/>
    <w:rsid w:val="00C1540F"/>
    <w:rsid w:val="00C16146"/>
    <w:rsid w:val="00C17CC8"/>
    <w:rsid w:val="00C20EC9"/>
    <w:rsid w:val="00C224B3"/>
    <w:rsid w:val="00C23EF6"/>
    <w:rsid w:val="00C261B0"/>
    <w:rsid w:val="00C30093"/>
    <w:rsid w:val="00C32349"/>
    <w:rsid w:val="00C34420"/>
    <w:rsid w:val="00C42DF2"/>
    <w:rsid w:val="00C46AFE"/>
    <w:rsid w:val="00C50A3C"/>
    <w:rsid w:val="00C50A74"/>
    <w:rsid w:val="00C55535"/>
    <w:rsid w:val="00C55CEC"/>
    <w:rsid w:val="00C568E6"/>
    <w:rsid w:val="00C60D2F"/>
    <w:rsid w:val="00C613CD"/>
    <w:rsid w:val="00C6164D"/>
    <w:rsid w:val="00C63D19"/>
    <w:rsid w:val="00C66CB7"/>
    <w:rsid w:val="00C67BD0"/>
    <w:rsid w:val="00C72A2A"/>
    <w:rsid w:val="00C73E81"/>
    <w:rsid w:val="00C74320"/>
    <w:rsid w:val="00C75381"/>
    <w:rsid w:val="00C7573C"/>
    <w:rsid w:val="00C836F8"/>
    <w:rsid w:val="00C85723"/>
    <w:rsid w:val="00C95325"/>
    <w:rsid w:val="00C95F74"/>
    <w:rsid w:val="00CA030C"/>
    <w:rsid w:val="00CA4BC3"/>
    <w:rsid w:val="00CA62EF"/>
    <w:rsid w:val="00CA6C81"/>
    <w:rsid w:val="00CA7201"/>
    <w:rsid w:val="00CB030B"/>
    <w:rsid w:val="00CB66EA"/>
    <w:rsid w:val="00CC6677"/>
    <w:rsid w:val="00CE3CD4"/>
    <w:rsid w:val="00CF03C5"/>
    <w:rsid w:val="00CF0C52"/>
    <w:rsid w:val="00CF274F"/>
    <w:rsid w:val="00CF383F"/>
    <w:rsid w:val="00CF7FA3"/>
    <w:rsid w:val="00D16245"/>
    <w:rsid w:val="00D16EBD"/>
    <w:rsid w:val="00D22B1B"/>
    <w:rsid w:val="00D2474D"/>
    <w:rsid w:val="00D34269"/>
    <w:rsid w:val="00D37A33"/>
    <w:rsid w:val="00D52229"/>
    <w:rsid w:val="00D557C2"/>
    <w:rsid w:val="00D6285D"/>
    <w:rsid w:val="00D676A0"/>
    <w:rsid w:val="00D71AD3"/>
    <w:rsid w:val="00D72C87"/>
    <w:rsid w:val="00D86DC1"/>
    <w:rsid w:val="00D87B67"/>
    <w:rsid w:val="00D9141B"/>
    <w:rsid w:val="00D92D7D"/>
    <w:rsid w:val="00DA3306"/>
    <w:rsid w:val="00DA53A6"/>
    <w:rsid w:val="00DA552C"/>
    <w:rsid w:val="00DA5915"/>
    <w:rsid w:val="00DB34A8"/>
    <w:rsid w:val="00DB4B27"/>
    <w:rsid w:val="00DB75B1"/>
    <w:rsid w:val="00DC39B8"/>
    <w:rsid w:val="00DC4F45"/>
    <w:rsid w:val="00DD7F3B"/>
    <w:rsid w:val="00E01AF2"/>
    <w:rsid w:val="00E04CD1"/>
    <w:rsid w:val="00E060A4"/>
    <w:rsid w:val="00E07E8C"/>
    <w:rsid w:val="00E100CA"/>
    <w:rsid w:val="00E111B7"/>
    <w:rsid w:val="00E31A6F"/>
    <w:rsid w:val="00E32246"/>
    <w:rsid w:val="00E34ED2"/>
    <w:rsid w:val="00E37A78"/>
    <w:rsid w:val="00E43E4E"/>
    <w:rsid w:val="00E479F7"/>
    <w:rsid w:val="00E51B7C"/>
    <w:rsid w:val="00E5448C"/>
    <w:rsid w:val="00E551B3"/>
    <w:rsid w:val="00E72755"/>
    <w:rsid w:val="00E82730"/>
    <w:rsid w:val="00E86D6A"/>
    <w:rsid w:val="00E86DE4"/>
    <w:rsid w:val="00E8723F"/>
    <w:rsid w:val="00E90AF0"/>
    <w:rsid w:val="00E90EBE"/>
    <w:rsid w:val="00E92A8F"/>
    <w:rsid w:val="00E932B1"/>
    <w:rsid w:val="00EA164D"/>
    <w:rsid w:val="00EA52AB"/>
    <w:rsid w:val="00EA7582"/>
    <w:rsid w:val="00EB0F67"/>
    <w:rsid w:val="00EB27D8"/>
    <w:rsid w:val="00EB6925"/>
    <w:rsid w:val="00EC12FF"/>
    <w:rsid w:val="00EC3C90"/>
    <w:rsid w:val="00EC4AAA"/>
    <w:rsid w:val="00ED18CA"/>
    <w:rsid w:val="00ED708F"/>
    <w:rsid w:val="00EE11A4"/>
    <w:rsid w:val="00EE7A08"/>
    <w:rsid w:val="00EF28F2"/>
    <w:rsid w:val="00EF3C22"/>
    <w:rsid w:val="00EF4C57"/>
    <w:rsid w:val="00EF5CB7"/>
    <w:rsid w:val="00F0239C"/>
    <w:rsid w:val="00F02C92"/>
    <w:rsid w:val="00F05A00"/>
    <w:rsid w:val="00F078BA"/>
    <w:rsid w:val="00F12F39"/>
    <w:rsid w:val="00F16C33"/>
    <w:rsid w:val="00F17AB3"/>
    <w:rsid w:val="00F17D06"/>
    <w:rsid w:val="00F20B67"/>
    <w:rsid w:val="00F20B79"/>
    <w:rsid w:val="00F25B16"/>
    <w:rsid w:val="00F2703B"/>
    <w:rsid w:val="00F30504"/>
    <w:rsid w:val="00F30953"/>
    <w:rsid w:val="00F311E2"/>
    <w:rsid w:val="00F32618"/>
    <w:rsid w:val="00F4316E"/>
    <w:rsid w:val="00F520A5"/>
    <w:rsid w:val="00F54466"/>
    <w:rsid w:val="00F704C2"/>
    <w:rsid w:val="00F7272C"/>
    <w:rsid w:val="00F72E66"/>
    <w:rsid w:val="00F72F2E"/>
    <w:rsid w:val="00F80FA8"/>
    <w:rsid w:val="00F81628"/>
    <w:rsid w:val="00FA296C"/>
    <w:rsid w:val="00FA468C"/>
    <w:rsid w:val="00FA56B2"/>
    <w:rsid w:val="00FA6FB5"/>
    <w:rsid w:val="00FA78E5"/>
    <w:rsid w:val="00FB649B"/>
    <w:rsid w:val="00FC65C9"/>
    <w:rsid w:val="00FE1F59"/>
    <w:rsid w:val="00FF5DA4"/>
    <w:rsid w:val="00FF7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9F357"/>
  <w15:chartTrackingRefBased/>
  <w15:docId w15:val="{CD6EFB02-18B6-4353-B745-68250875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uiPriority="10" w:qFormat="1"/>
    <w:lsdException w:name="Body Text" w:uiPriority="99"/>
    <w:lsdException w:name="Subtitle" w:qFormat="1"/>
    <w:lsdException w:name="Body Text 3"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Balk1">
    <w:name w:val="heading 1"/>
    <w:basedOn w:val="Normal"/>
    <w:next w:val="Normal"/>
    <w:qFormat/>
    <w:pPr>
      <w:keepNext/>
      <w:spacing w:before="240" w:after="60"/>
      <w:outlineLvl w:val="0"/>
    </w:pPr>
    <w:rPr>
      <w:rFonts w:ascii="Arial" w:hAnsi="Arial" w:cs="Arial"/>
      <w:b/>
      <w:bCs/>
      <w:kern w:val="32"/>
      <w:sz w:val="32"/>
      <w:szCs w:val="32"/>
      <w:lang w:eastAsia="tr-TR"/>
    </w:rPr>
  </w:style>
  <w:style w:type="paragraph" w:styleId="Balk2">
    <w:name w:val="heading 2"/>
    <w:basedOn w:val="Normal"/>
    <w:next w:val="Normal"/>
    <w:link w:val="Balk2Char"/>
    <w:qFormat/>
    <w:pPr>
      <w:keepNext/>
      <w:spacing w:before="240" w:after="60"/>
      <w:outlineLvl w:val="1"/>
    </w:pPr>
    <w:rPr>
      <w:rFonts w:ascii="Arial" w:hAnsi="Arial" w:cs="Arial"/>
      <w:b/>
      <w:bCs/>
      <w:i/>
      <w:iCs/>
      <w:sz w:val="28"/>
      <w:szCs w:val="28"/>
      <w:lang w:eastAsia="tr-TR"/>
    </w:rPr>
  </w:style>
  <w:style w:type="paragraph" w:styleId="Balk3">
    <w:name w:val="heading 3"/>
    <w:basedOn w:val="Normal"/>
    <w:next w:val="Normal"/>
    <w:qFormat/>
    <w:pPr>
      <w:keepNext/>
      <w:spacing w:before="240" w:after="60"/>
      <w:outlineLvl w:val="2"/>
    </w:pPr>
    <w:rPr>
      <w:rFonts w:ascii="Arial" w:eastAsia="SimSun" w:hAnsi="Arial" w:cs="Arial"/>
      <w:b/>
      <w:bCs/>
      <w:sz w:val="26"/>
      <w:szCs w:val="26"/>
      <w:lang w:eastAsia="zh-CN"/>
    </w:rPr>
  </w:style>
  <w:style w:type="paragraph" w:styleId="Balk4">
    <w:name w:val="heading 4"/>
    <w:basedOn w:val="Normal"/>
    <w:next w:val="Normal"/>
    <w:qFormat/>
    <w:pPr>
      <w:keepNext/>
      <w:spacing w:before="240" w:after="60"/>
      <w:outlineLvl w:val="3"/>
    </w:pPr>
    <w:rPr>
      <w:b/>
      <w:bCs/>
      <w:sz w:val="28"/>
      <w:szCs w:val="28"/>
    </w:rPr>
  </w:style>
  <w:style w:type="paragraph" w:styleId="Balk5">
    <w:name w:val="heading 5"/>
    <w:basedOn w:val="Normal"/>
    <w:next w:val="Normal"/>
    <w:link w:val="Balk5Char"/>
    <w:qFormat/>
    <w:pPr>
      <w:spacing w:before="240" w:after="60"/>
      <w:outlineLvl w:val="4"/>
    </w:pPr>
    <w:rPr>
      <w:rFonts w:ascii="Calibri" w:hAnsi="Calibri"/>
      <w:b/>
      <w:bCs/>
      <w:i/>
      <w:iCs/>
      <w:sz w:val="26"/>
      <w:szCs w:val="26"/>
    </w:rPr>
  </w:style>
  <w:style w:type="paragraph" w:styleId="Balk6">
    <w:name w:val="heading 6"/>
    <w:basedOn w:val="Normal"/>
    <w:next w:val="Normal"/>
    <w:qFormat/>
    <w:pPr>
      <w:keepNext/>
      <w:spacing w:before="120" w:line="360" w:lineRule="auto"/>
      <w:jc w:val="both"/>
      <w:outlineLvl w:val="5"/>
    </w:pPr>
    <w:rPr>
      <w:b/>
      <w:bCs/>
      <w:sz w:val="32"/>
      <w:lang w:eastAsia="tr-TR"/>
    </w:rPr>
  </w:style>
  <w:style w:type="paragraph" w:styleId="Balk7">
    <w:name w:val="heading 7"/>
    <w:basedOn w:val="Normal"/>
    <w:next w:val="Normal"/>
    <w:link w:val="Balk7Char"/>
    <w:qFormat/>
    <w:pPr>
      <w:widowControl w:val="0"/>
      <w:autoSpaceDE w:val="0"/>
      <w:autoSpaceDN w:val="0"/>
      <w:adjustRightInd w:val="0"/>
      <w:spacing w:before="240" w:after="60"/>
      <w:outlineLvl w:val="6"/>
    </w:pPr>
    <w:rPr>
      <w:lang w:eastAsia="tr-TR"/>
    </w:rPr>
  </w:style>
  <w:style w:type="paragraph" w:styleId="Balk9">
    <w:name w:val="heading 9"/>
    <w:basedOn w:val="Normal"/>
    <w:next w:val="Normal"/>
    <w:link w:val="Balk9Char"/>
    <w:qFormat/>
    <w:pPr>
      <w:widowControl w:val="0"/>
      <w:autoSpaceDE w:val="0"/>
      <w:autoSpaceDN w:val="0"/>
      <w:adjustRightInd w:val="0"/>
      <w:spacing w:before="240" w:after="60"/>
      <w:outlineLvl w:val="8"/>
    </w:pPr>
    <w:rPr>
      <w:rFonts w:ascii="Arial" w:hAnsi="Arial" w:cs="Arial"/>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hAnsi="Arial" w:cs="Arial"/>
      <w:b/>
      <w:bCs/>
      <w:i/>
      <w:iCs/>
      <w:sz w:val="28"/>
      <w:szCs w:val="28"/>
      <w:lang w:val="tr-TR" w:eastAsia="tr-TR" w:bidi="ar-SA"/>
    </w:rPr>
  </w:style>
  <w:style w:type="character" w:customStyle="1" w:styleId="Balk5Char">
    <w:name w:val="Başlık 5 Char"/>
    <w:link w:val="Balk5"/>
    <w:semiHidden/>
    <w:rPr>
      <w:rFonts w:ascii="Calibri" w:eastAsia="Times New Roman" w:hAnsi="Calibri" w:cs="Times New Roman"/>
      <w:b/>
      <w:bCs/>
      <w:i/>
      <w:iCs/>
      <w:sz w:val="26"/>
      <w:szCs w:val="26"/>
      <w:lang w:eastAsia="en-US"/>
    </w:rPr>
  </w:style>
  <w:style w:type="character" w:customStyle="1" w:styleId="Balk7Char">
    <w:name w:val="Başlık 7 Char"/>
    <w:link w:val="Balk7"/>
    <w:rPr>
      <w:sz w:val="24"/>
      <w:szCs w:val="24"/>
    </w:rPr>
  </w:style>
  <w:style w:type="character" w:customStyle="1" w:styleId="Balk9Char">
    <w:name w:val="Başlık 9 Char"/>
    <w:link w:val="Balk9"/>
    <w:rPr>
      <w:rFonts w:ascii="Arial" w:hAnsi="Arial" w:cs="Arial"/>
      <w:sz w:val="22"/>
      <w:szCs w:val="22"/>
    </w:rPr>
  </w:style>
  <w:style w:type="paragraph" w:styleId="NormalWeb">
    <w:name w:val="Normal (Web)"/>
    <w:basedOn w:val="Normal"/>
    <w:uiPriority w:val="99"/>
    <w:pPr>
      <w:spacing w:before="100" w:beforeAutospacing="1" w:after="100" w:afterAutospacing="1"/>
    </w:pPr>
    <w:rPr>
      <w:rFonts w:ascii="Verdana" w:hAnsi="Verdana"/>
      <w:color w:val="000000"/>
      <w:sz w:val="20"/>
      <w:szCs w:val="20"/>
      <w:lang w:eastAsia="tr-TR"/>
    </w:rPr>
  </w:style>
  <w:style w:type="character" w:styleId="Kpr">
    <w:name w:val="Hyperlink"/>
    <w:rPr>
      <w:color w:val="0000FF"/>
      <w:u w:val="single"/>
    </w:rPr>
  </w:style>
  <w:style w:type="paragraph" w:styleId="GvdeMetniGirintisi">
    <w:name w:val="Body Text Indent"/>
    <w:basedOn w:val="Normal"/>
    <w:pPr>
      <w:ind w:left="3170" w:hanging="3170"/>
      <w:jc w:val="both"/>
    </w:pPr>
    <w:rPr>
      <w:b/>
      <w:bCs/>
      <w:sz w:val="32"/>
      <w:lang w:eastAsia="tr-TR"/>
    </w:rPr>
  </w:style>
  <w:style w:type="paragraph" w:styleId="AltBilgi">
    <w:name w:val="footer"/>
    <w:basedOn w:val="Normal"/>
    <w:link w:val="AltBilgiChar"/>
    <w:uiPriority w:val="99"/>
    <w:pPr>
      <w:tabs>
        <w:tab w:val="center" w:pos="4536"/>
        <w:tab w:val="right" w:pos="9072"/>
      </w:tabs>
    </w:pPr>
  </w:style>
  <w:style w:type="character" w:customStyle="1" w:styleId="AltBilgiChar">
    <w:name w:val="Alt Bilgi Char"/>
    <w:link w:val="AltBilgi"/>
    <w:uiPriority w:val="99"/>
    <w:rPr>
      <w:sz w:val="24"/>
      <w:szCs w:val="24"/>
      <w:lang w:eastAsia="en-US"/>
    </w:rPr>
  </w:style>
  <w:style w:type="character" w:styleId="SayfaNumaras">
    <w:name w:val="page number"/>
    <w:basedOn w:val="VarsaylanParagrafYazTipi"/>
    <w:uiPriority w:val="99"/>
  </w:style>
  <w:style w:type="paragraph" w:styleId="BalonMetni">
    <w:name w:val="Balloon Text"/>
    <w:basedOn w:val="Normal"/>
    <w:link w:val="BalonMetniChar"/>
    <w:rPr>
      <w:rFonts w:ascii="Tahoma" w:hAnsi="Tahoma" w:cs="Tahoma"/>
      <w:sz w:val="16"/>
      <w:szCs w:val="16"/>
    </w:rPr>
  </w:style>
  <w:style w:type="paragraph" w:styleId="GvdeMetni">
    <w:name w:val="Body Text"/>
    <w:basedOn w:val="Normal"/>
    <w:link w:val="GvdeMetniChar"/>
    <w:uiPriority w:val="99"/>
    <w:pPr>
      <w:spacing w:after="120"/>
    </w:pPr>
  </w:style>
  <w:style w:type="paragraph" w:styleId="DipnotMetni">
    <w:name w:val="footnote text"/>
    <w:basedOn w:val="Normal"/>
    <w:link w:val="DipnotMetniChar"/>
    <w:uiPriority w:val="99"/>
    <w:rPr>
      <w:sz w:val="20"/>
      <w:szCs w:val="20"/>
      <w:lang w:eastAsia="tr-TR"/>
    </w:rPr>
  </w:style>
  <w:style w:type="character" w:styleId="DipnotBavurusu">
    <w:name w:val="footnote reference"/>
    <w:uiPriority w:val="99"/>
    <w:rPr>
      <w:vertAlign w:val="superscript"/>
    </w:rPr>
  </w:style>
  <w:style w:type="character" w:styleId="Gl">
    <w:name w:val="Strong"/>
    <w:uiPriority w:val="22"/>
    <w:qFormat/>
    <w:rPr>
      <w:b/>
      <w:bCs/>
    </w:rPr>
  </w:style>
  <w:style w:type="paragraph" w:styleId="stBilgi">
    <w:name w:val="header"/>
    <w:basedOn w:val="Normal"/>
    <w:link w:val="stBilgiChar"/>
    <w:uiPriority w:val="99"/>
    <w:pPr>
      <w:tabs>
        <w:tab w:val="center" w:pos="4536"/>
        <w:tab w:val="right" w:pos="9072"/>
      </w:tabs>
    </w:pPr>
  </w:style>
  <w:style w:type="character" w:customStyle="1" w:styleId="stBilgiChar">
    <w:name w:val="Üst Bilgi Char"/>
    <w:link w:val="stBilgi"/>
    <w:uiPriority w:val="99"/>
    <w:rPr>
      <w:sz w:val="24"/>
      <w:szCs w:val="24"/>
      <w:lang w:eastAsia="en-US"/>
    </w:rPr>
  </w:style>
  <w:style w:type="table" w:styleId="TabloKlavuzu">
    <w:name w:val="Table Grid"/>
    <w:basedOn w:val="NormalTablo"/>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pPr>
      <w:spacing w:after="120" w:line="480" w:lineRule="auto"/>
    </w:pPr>
    <w:rPr>
      <w:lang w:eastAsia="tr-TR"/>
    </w:rPr>
  </w:style>
  <w:style w:type="paragraph" w:styleId="GvdeMetni3">
    <w:name w:val="Body Text 3"/>
    <w:basedOn w:val="Normal"/>
    <w:link w:val="GvdeMetni3Char"/>
    <w:uiPriority w:val="99"/>
    <w:pPr>
      <w:spacing w:after="120"/>
    </w:pPr>
    <w:rPr>
      <w:sz w:val="16"/>
      <w:szCs w:val="16"/>
    </w:rPr>
  </w:style>
  <w:style w:type="character" w:customStyle="1" w:styleId="ref-journal">
    <w:name w:val="ref-journal"/>
    <w:basedOn w:val="VarsaylanParagrafYazTipi"/>
  </w:style>
  <w:style w:type="character" w:customStyle="1" w:styleId="ref-vol1">
    <w:name w:val="ref-vol1"/>
    <w:rPr>
      <w:b/>
    </w:r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szCs w:val="16"/>
    </w:rPr>
  </w:style>
  <w:style w:type="character" w:customStyle="1" w:styleId="maintextbldleft1">
    <w:name w:val="maintextbldleft1"/>
    <w:rPr>
      <w:rFonts w:ascii="Arial" w:hAnsi="Arial" w:cs="Arial" w:hint="default"/>
      <w:b/>
      <w:bCs/>
      <w:i w:val="0"/>
      <w:iCs w:val="0"/>
      <w:smallCaps w:val="0"/>
      <w:strike w:val="0"/>
      <w:dstrike w:val="0"/>
      <w:color w:val="000000"/>
      <w:sz w:val="18"/>
      <w:szCs w:val="18"/>
      <w:u w:val="none"/>
      <w:effect w:val="none"/>
    </w:rPr>
  </w:style>
  <w:style w:type="character" w:customStyle="1" w:styleId="sst1">
    <w:name w:val="sst1"/>
    <w:rPr>
      <w:rFonts w:ascii="Verdana" w:hAnsi="Verdana" w:hint="default"/>
      <w:b/>
      <w:bCs/>
      <w:sz w:val="20"/>
      <w:szCs w:val="20"/>
    </w:rPr>
  </w:style>
  <w:style w:type="table" w:styleId="TabloKlasik1">
    <w:name w:val="Table Classic 1"/>
    <w:basedOn w:val="NormalTablo"/>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
    <w:name w:val="a"/>
    <w:basedOn w:val="VarsaylanParagrafYazTipi"/>
    <w:uiPriority w:val="99"/>
  </w:style>
  <w:style w:type="character" w:styleId="Vurgu">
    <w:name w:val="Emphasis"/>
    <w:uiPriority w:val="20"/>
    <w:qFormat/>
    <w:rPr>
      <w:i/>
      <w:iCs/>
    </w:rPr>
  </w:style>
  <w:style w:type="character" w:styleId="AklamaBavurusu">
    <w:name w:val="annotation reference"/>
    <w:uiPriority w:val="99"/>
    <w:rPr>
      <w:sz w:val="16"/>
      <w:szCs w:val="16"/>
    </w:rPr>
  </w:style>
  <w:style w:type="paragraph" w:styleId="AklamaMetni">
    <w:name w:val="annotation text"/>
    <w:basedOn w:val="Normal"/>
    <w:link w:val="AklamaMetniChar"/>
    <w:uiPriority w:val="99"/>
    <w:pPr>
      <w:widowControl w:val="0"/>
      <w:autoSpaceDE w:val="0"/>
      <w:autoSpaceDN w:val="0"/>
      <w:adjustRightInd w:val="0"/>
    </w:pPr>
    <w:rPr>
      <w:sz w:val="20"/>
      <w:szCs w:val="20"/>
      <w:lang w:eastAsia="tr-TR"/>
    </w:rPr>
  </w:style>
  <w:style w:type="character" w:customStyle="1" w:styleId="AklamaMetniChar">
    <w:name w:val="Açıklama Metni Char"/>
    <w:basedOn w:val="VarsaylanParagrafYazTipi"/>
    <w:link w:val="AklamaMetni"/>
    <w:uiPriority w:val="99"/>
  </w:style>
  <w:style w:type="paragraph" w:styleId="AklamaKonusu">
    <w:name w:val="annotation subject"/>
    <w:basedOn w:val="AklamaMetni"/>
    <w:next w:val="AklamaMetni"/>
    <w:link w:val="AklamaKonusuChar"/>
    <w:uiPriority w:val="99"/>
    <w:rPr>
      <w:b/>
      <w:bCs/>
    </w:rPr>
  </w:style>
  <w:style w:type="character" w:customStyle="1" w:styleId="AklamaKonusuChar">
    <w:name w:val="Açıklama Konusu Char"/>
    <w:link w:val="AklamaKonusu"/>
    <w:uiPriority w:val="99"/>
    <w:rPr>
      <w:b/>
      <w:bCs/>
    </w:rPr>
  </w:style>
  <w:style w:type="character" w:styleId="zlenenKpr">
    <w:name w:val="FollowedHyperlink"/>
    <w:rPr>
      <w:color w:val="800080"/>
      <w:u w:val="single"/>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WW-NormalWeb1">
    <w:name w:val="WW-Normal (Web)1"/>
    <w:basedOn w:val="Normal"/>
    <w:link w:val="WW-NormalWeb1Char"/>
    <w:pPr>
      <w:spacing w:before="280" w:after="119"/>
    </w:pPr>
    <w:rPr>
      <w:lang w:eastAsia="ar-SA"/>
    </w:rPr>
  </w:style>
  <w:style w:type="paragraph" w:customStyle="1" w:styleId="KonuBal1">
    <w:name w:val="Konu Başlığı1"/>
    <w:basedOn w:val="Normal"/>
    <w:pPr>
      <w:jc w:val="center"/>
    </w:pPr>
    <w:rPr>
      <w:b/>
      <w:sz w:val="28"/>
      <w:lang w:eastAsia="tr-TR"/>
    </w:rPr>
  </w:style>
  <w:style w:type="paragraph" w:styleId="bekMetni">
    <w:name w:val="Block Text"/>
    <w:basedOn w:val="Normal"/>
    <w:pPr>
      <w:ind w:left="851" w:right="851"/>
      <w:jc w:val="both"/>
    </w:pPr>
    <w:rPr>
      <w:lang w:eastAsia="tr-TR"/>
    </w:rPr>
  </w:style>
  <w:style w:type="character" w:customStyle="1" w:styleId="scinames1">
    <w:name w:val="scinames1"/>
    <w:rPr>
      <w:rFonts w:ascii="Arial" w:hAnsi="Arial" w:cs="Arial" w:hint="default"/>
      <w:b w:val="0"/>
      <w:bCs w:val="0"/>
      <w:i/>
      <w:iCs/>
      <w:strike w:val="0"/>
      <w:dstrike w:val="0"/>
      <w:color w:val="000000"/>
      <w:sz w:val="24"/>
      <w:szCs w:val="24"/>
      <w:u w:val="none"/>
      <w:effect w:val="none"/>
    </w:rPr>
  </w:style>
  <w:style w:type="character" w:customStyle="1" w:styleId="SonnotMetniChar">
    <w:name w:val="Sonnot Metni Char"/>
    <w:link w:val="SonnotMetni"/>
    <w:rPr>
      <w:rFonts w:eastAsia="MS Mincho"/>
      <w:color w:val="000000"/>
      <w:kern w:val="28"/>
      <w:lang w:eastAsia="ja-JP"/>
    </w:rPr>
  </w:style>
  <w:style w:type="paragraph" w:styleId="SonnotMetni">
    <w:name w:val="endnote text"/>
    <w:basedOn w:val="Normal"/>
    <w:link w:val="SonnotMetniChar"/>
    <w:rPr>
      <w:rFonts w:eastAsia="MS Mincho"/>
      <w:color w:val="000000"/>
      <w:kern w:val="28"/>
      <w:sz w:val="20"/>
      <w:szCs w:val="20"/>
      <w:lang w:eastAsia="ja-JP"/>
    </w:rPr>
  </w:style>
  <w:style w:type="paragraph" w:styleId="KonuBal">
    <w:name w:val="Title"/>
    <w:basedOn w:val="Normal"/>
    <w:link w:val="KonuBalChar"/>
    <w:uiPriority w:val="10"/>
    <w:qFormat/>
    <w:pPr>
      <w:spacing w:line="360" w:lineRule="auto"/>
      <w:jc w:val="center"/>
    </w:pPr>
    <w:rPr>
      <w:rFonts w:ascii="Arial" w:hAnsi="Arial" w:cs="Arial"/>
      <w:b/>
      <w:bCs/>
      <w:lang w:eastAsia="tr-TR"/>
    </w:rPr>
  </w:style>
  <w:style w:type="character" w:customStyle="1" w:styleId="KonuBalChar">
    <w:name w:val="Konu Başlığı Char"/>
    <w:link w:val="KonuBal"/>
    <w:uiPriority w:val="10"/>
    <w:rPr>
      <w:rFonts w:ascii="Arial" w:hAnsi="Arial" w:cs="Arial"/>
      <w:b/>
      <w:bCs/>
      <w:sz w:val="24"/>
      <w:szCs w:val="24"/>
    </w:rPr>
  </w:style>
  <w:style w:type="paragraph" w:styleId="Liste">
    <w:name w:val="List"/>
    <w:basedOn w:val="Normal"/>
    <w:pPr>
      <w:ind w:left="283" w:hanging="283"/>
    </w:pPr>
    <w:rPr>
      <w:sz w:val="20"/>
      <w:szCs w:val="20"/>
      <w:lang w:eastAsia="tr-TR"/>
    </w:rPr>
  </w:style>
  <w:style w:type="paragraph" w:customStyle="1" w:styleId="Stil2">
    <w:name w:val="Stil2"/>
    <w:basedOn w:val="Normal"/>
    <w:next w:val="Normal"/>
    <w:pPr>
      <w:jc w:val="both"/>
    </w:pPr>
    <w:rPr>
      <w:rFonts w:ascii="Tahoma" w:hAnsi="Tahoma" w:cs="Tahoma"/>
      <w:lang w:eastAsia="tr-TR"/>
    </w:rPr>
  </w:style>
  <w:style w:type="character" w:customStyle="1" w:styleId="subtitlespecies">
    <w:name w:val="subtitle_species"/>
    <w:basedOn w:val="VarsaylanParagrafYazTipi"/>
  </w:style>
  <w:style w:type="paragraph" w:customStyle="1" w:styleId="a0">
    <w:name w:val="??"/>
    <w:pPr>
      <w:spacing w:line="240" w:lineRule="atLeast"/>
      <w:jc w:val="both"/>
    </w:pPr>
    <w:rPr>
      <w:rFonts w:ascii="Helvetica" w:eastAsia="SimSun" w:hAnsi="Helvetica"/>
      <w:color w:val="000000"/>
      <w:lang w:val="en-US" w:eastAsia="zh-CN"/>
    </w:rPr>
  </w:style>
  <w:style w:type="character" w:customStyle="1" w:styleId="pubtitle">
    <w:name w:val="pubtitle"/>
    <w:basedOn w:val="VarsaylanParagrafYazTipi"/>
  </w:style>
  <w:style w:type="character" w:styleId="SatrNumaras">
    <w:name w:val="line number"/>
    <w:basedOn w:val="VarsaylanParagrafYazTipi"/>
  </w:style>
  <w:style w:type="character" w:customStyle="1" w:styleId="menulink">
    <w:name w:val="menulink"/>
    <w:basedOn w:val="VarsaylanParagrafYazTipi"/>
  </w:style>
  <w:style w:type="character" w:customStyle="1" w:styleId="newstext">
    <w:name w:val="newstext"/>
    <w:basedOn w:val="VarsaylanParagrafYazTipi"/>
  </w:style>
  <w:style w:type="character" w:customStyle="1" w:styleId="DzMetinChar">
    <w:name w:val="Düz Metin Char"/>
    <w:link w:val="DzMetin"/>
    <w:uiPriority w:val="99"/>
    <w:locked/>
    <w:rPr>
      <w:rFonts w:ascii="Consolas" w:hAnsi="Consolas" w:cs="Consolas"/>
      <w:sz w:val="21"/>
      <w:szCs w:val="21"/>
    </w:rPr>
  </w:style>
  <w:style w:type="paragraph" w:styleId="DzMetin">
    <w:name w:val="Plain Text"/>
    <w:basedOn w:val="Normal"/>
    <w:link w:val="DzMetinChar"/>
    <w:uiPriority w:val="99"/>
    <w:unhideWhenUsed/>
    <w:pPr>
      <w:spacing w:before="100" w:beforeAutospacing="1" w:after="100" w:afterAutospacing="1"/>
    </w:pPr>
    <w:rPr>
      <w:rFonts w:ascii="Consolas" w:hAnsi="Consolas" w:cs="Consolas"/>
      <w:sz w:val="21"/>
      <w:szCs w:val="21"/>
      <w:lang w:eastAsia="tr-TR"/>
    </w:rPr>
  </w:style>
  <w:style w:type="character" w:customStyle="1" w:styleId="DzMetinChar1">
    <w:name w:val="Düz Metin Char1"/>
    <w:rPr>
      <w:rFonts w:ascii="Courier New" w:hAnsi="Courier New" w:cs="Courier New"/>
      <w:lang w:val="en-US" w:eastAsia="en-US"/>
    </w:rPr>
  </w:style>
  <w:style w:type="character" w:customStyle="1" w:styleId="booktitle1">
    <w:name w:val="booktitle1"/>
    <w:rPr>
      <w:rFonts w:ascii="Trebuchet MS" w:hAnsi="Trebuchet MS" w:hint="default"/>
      <w:b/>
      <w:bCs/>
      <w:sz w:val="17"/>
      <w:szCs w:val="17"/>
    </w:rPr>
  </w:style>
  <w:style w:type="character" w:customStyle="1" w:styleId="DipnotMetniChar">
    <w:name w:val="Dipnot Metni Char"/>
    <w:basedOn w:val="VarsaylanParagrafYazTipi"/>
    <w:link w:val="DipnotMetni"/>
    <w:uiPriority w:val="99"/>
  </w:style>
  <w:style w:type="character" w:customStyle="1" w:styleId="longtext1">
    <w:name w:val="long_text1"/>
    <w:rPr>
      <w:sz w:val="20"/>
      <w:szCs w:val="20"/>
    </w:rPr>
  </w:style>
  <w:style w:type="paragraph" w:customStyle="1" w:styleId="GvdeMetni31">
    <w:name w:val="Gövde Metni 31"/>
    <w:basedOn w:val="Normal"/>
    <w:pPr>
      <w:widowControl w:val="0"/>
      <w:suppressAutoHyphens/>
      <w:spacing w:line="480" w:lineRule="auto"/>
      <w:jc w:val="both"/>
    </w:pPr>
    <w:rPr>
      <w:rFonts w:eastAsia="Tahoma"/>
      <w:kern w:val="1"/>
      <w:lang w:eastAsia="ar-SA"/>
    </w:rPr>
  </w:style>
  <w:style w:type="paragraph" w:customStyle="1" w:styleId="Tabloerii">
    <w:name w:val="Tablo İçeriği"/>
    <w:basedOn w:val="Normal"/>
    <w:pPr>
      <w:widowControl w:val="0"/>
      <w:suppressLineNumbers/>
      <w:suppressAutoHyphens/>
    </w:pPr>
    <w:rPr>
      <w:rFonts w:eastAsia="Tahoma"/>
      <w:kern w:val="1"/>
      <w:lang w:eastAsia="ar-SA"/>
    </w:rPr>
  </w:style>
  <w:style w:type="paragraph" w:customStyle="1" w:styleId="yiv2109725571msonormal">
    <w:name w:val="yiv2109725571msonormal"/>
    <w:basedOn w:val="Normal"/>
    <w:uiPriority w:val="99"/>
    <w:pPr>
      <w:spacing w:before="100" w:beforeAutospacing="1" w:after="100" w:afterAutospacing="1"/>
    </w:pPr>
    <w:rPr>
      <w:rFonts w:eastAsia="SimSun"/>
      <w:lang w:eastAsia="tr-TR"/>
    </w:rPr>
  </w:style>
  <w:style w:type="paragraph" w:styleId="Altyaz">
    <w:name w:val="Subtitle"/>
    <w:basedOn w:val="Normal"/>
    <w:next w:val="Normal"/>
    <w:link w:val="AltyazChar"/>
    <w:qFormat/>
    <w:pPr>
      <w:spacing w:after="60"/>
      <w:jc w:val="center"/>
      <w:outlineLvl w:val="1"/>
    </w:pPr>
    <w:rPr>
      <w:rFonts w:ascii="Cambria" w:hAnsi="Cambria"/>
      <w:lang w:val="x-none" w:eastAsia="x-none"/>
    </w:rPr>
  </w:style>
  <w:style w:type="character" w:customStyle="1" w:styleId="AltyazChar">
    <w:name w:val="Altyazı Char"/>
    <w:link w:val="Altyaz"/>
    <w:rPr>
      <w:rFonts w:ascii="Cambria" w:hAnsi="Cambria"/>
      <w:sz w:val="24"/>
      <w:szCs w:val="24"/>
      <w:lang w:val="x-none" w:eastAsia="x-none"/>
    </w:rPr>
  </w:style>
  <w:style w:type="character" w:customStyle="1" w:styleId="apple-style-span">
    <w:name w:val="apple-style-span"/>
    <w:basedOn w:val="VarsaylanParagrafYazTipi"/>
    <w:uiPriority w:val="99"/>
  </w:style>
  <w:style w:type="character" w:customStyle="1" w:styleId="apple-converted-space">
    <w:name w:val="apple-converted-space"/>
    <w:basedOn w:val="VarsaylanParagrafYazTipi"/>
  </w:style>
  <w:style w:type="table" w:customStyle="1" w:styleId="TabloStili1">
    <w:name w:val="Tablo Stili1"/>
    <w:basedOn w:val="NormalTablo"/>
    <w:tblPr/>
  </w:style>
  <w:style w:type="character" w:customStyle="1" w:styleId="refpreview1">
    <w:name w:val="refpreview1"/>
    <w:rPr>
      <w:vanish/>
      <w:webHidden w:val="0"/>
      <w:shd w:val="clear" w:color="auto" w:fill="EEEEEE"/>
      <w:specVanish w:val="0"/>
    </w:rPr>
  </w:style>
  <w:style w:type="character" w:customStyle="1" w:styleId="hit">
    <w:name w:val="hit"/>
  </w:style>
  <w:style w:type="paragraph" w:styleId="BelgeBalantlar">
    <w:name w:val="Document Map"/>
    <w:basedOn w:val="Normal"/>
    <w:link w:val="BelgeBalantlarChar"/>
    <w:pPr>
      <w:shd w:val="clear" w:color="auto" w:fill="000080"/>
    </w:pPr>
    <w:rPr>
      <w:rFonts w:ascii="Tahoma" w:hAnsi="Tahoma" w:cs="Tahoma"/>
      <w:sz w:val="20"/>
      <w:szCs w:val="20"/>
      <w:lang w:eastAsia="tr-TR"/>
    </w:rPr>
  </w:style>
  <w:style w:type="character" w:customStyle="1" w:styleId="BelgeBalantlarChar">
    <w:name w:val="Belge Bağlantıları Char"/>
    <w:link w:val="BelgeBalantlar"/>
    <w:rPr>
      <w:rFonts w:ascii="Tahoma" w:hAnsi="Tahoma" w:cs="Tahoma"/>
      <w:shd w:val="clear" w:color="auto" w:fill="000080"/>
      <w:lang w:val="en-GB"/>
    </w:rPr>
  </w:style>
  <w:style w:type="paragraph" w:customStyle="1" w:styleId="Pa13">
    <w:name w:val="Pa13"/>
    <w:basedOn w:val="Normal"/>
    <w:next w:val="Normal"/>
    <w:pPr>
      <w:autoSpaceDE w:val="0"/>
      <w:autoSpaceDN w:val="0"/>
      <w:adjustRightInd w:val="0"/>
      <w:spacing w:line="171" w:lineRule="atLeast"/>
    </w:pPr>
    <w:rPr>
      <w:rFonts w:ascii="Times" w:hAnsi="Times"/>
    </w:rPr>
  </w:style>
  <w:style w:type="character" w:customStyle="1" w:styleId="hps">
    <w:name w:val="hps"/>
  </w:style>
  <w:style w:type="paragraph" w:customStyle="1" w:styleId="Style1">
    <w:name w:val="Style 1"/>
    <w:pPr>
      <w:widowControl w:val="0"/>
      <w:tabs>
        <w:tab w:val="left" w:pos="720"/>
      </w:tabs>
      <w:suppressAutoHyphens/>
      <w:spacing w:before="108" w:line="295" w:lineRule="atLeast"/>
      <w:jc w:val="center"/>
    </w:pPr>
    <w:rPr>
      <w:rFonts w:ascii="Garamond" w:hAnsi="Garamond" w:cs="Garamond"/>
      <w:b/>
      <w:bCs/>
      <w:color w:val="00000A"/>
      <w:sz w:val="40"/>
      <w:szCs w:val="40"/>
      <w:lang w:val="en-IN" w:eastAsia="zh-CN" w:bidi="hi-IN"/>
    </w:rPr>
  </w:style>
  <w:style w:type="paragraph" w:customStyle="1" w:styleId="ListParagraph1">
    <w:name w:val="List Paragraph1"/>
    <w:basedOn w:val="Normal"/>
    <w:pPr>
      <w:ind w:left="720"/>
      <w:contextualSpacing/>
    </w:pPr>
    <w:rPr>
      <w:rFonts w:eastAsia="Calibri"/>
      <w:lang w:val="de-DE" w:eastAsia="de-DE"/>
    </w:rPr>
  </w:style>
  <w:style w:type="paragraph" w:styleId="ResimYazs">
    <w:name w:val="caption"/>
    <w:basedOn w:val="Normal"/>
    <w:next w:val="Normal"/>
    <w:uiPriority w:val="35"/>
    <w:qFormat/>
    <w:pPr>
      <w:spacing w:after="200"/>
    </w:pPr>
    <w:rPr>
      <w:rFonts w:ascii="Calibri" w:hAnsi="Calibri"/>
      <w:b/>
      <w:bCs/>
      <w:color w:val="4F81BD"/>
      <w:sz w:val="18"/>
      <w:szCs w:val="18"/>
      <w:lang w:val="de-DE"/>
    </w:rPr>
  </w:style>
  <w:style w:type="character" w:customStyle="1" w:styleId="fett">
    <w:name w:val="fett"/>
    <w:basedOn w:val="VarsaylanParagrafYazTipi"/>
  </w:style>
  <w:style w:type="character" w:customStyle="1" w:styleId="publicationrowtext">
    <w:name w:val="publicationrowtext"/>
    <w:basedOn w:val="VarsaylanParagrafYazTipi"/>
  </w:style>
  <w:style w:type="character" w:customStyle="1" w:styleId="st">
    <w:name w:val="st"/>
    <w:basedOn w:val="VarsaylanParagrafYazTipi"/>
  </w:style>
  <w:style w:type="character" w:customStyle="1" w:styleId="st1">
    <w:name w:val="st1"/>
    <w:rsid w:val="007D0FCF"/>
  </w:style>
  <w:style w:type="paragraph" w:styleId="Dizin1">
    <w:name w:val="index 1"/>
    <w:basedOn w:val="Normal"/>
    <w:next w:val="Normal"/>
    <w:autoRedefine/>
    <w:rsid w:val="005E3B4F"/>
    <w:pPr>
      <w:ind w:left="240" w:hanging="240"/>
    </w:pPr>
  </w:style>
  <w:style w:type="paragraph" w:styleId="DizinBal">
    <w:name w:val="index heading"/>
    <w:basedOn w:val="Normal"/>
    <w:next w:val="Dizin1"/>
    <w:rsid w:val="005E3B4F"/>
    <w:pPr>
      <w:suppressAutoHyphens/>
      <w:spacing w:after="480" w:line="360" w:lineRule="auto"/>
      <w:jc w:val="both"/>
    </w:pPr>
    <w:rPr>
      <w:szCs w:val="20"/>
      <w:lang w:eastAsia="ar-SA"/>
    </w:rPr>
  </w:style>
  <w:style w:type="paragraph" w:customStyle="1" w:styleId="Aslgirinti">
    <w:name w:val="Asılı girinti"/>
    <w:basedOn w:val="Normal"/>
    <w:rsid w:val="005E3B4F"/>
    <w:pPr>
      <w:tabs>
        <w:tab w:val="left" w:pos="567"/>
      </w:tabs>
      <w:suppressAutoHyphens/>
      <w:spacing w:after="120"/>
      <w:ind w:left="567" w:hanging="283"/>
    </w:pPr>
    <w:rPr>
      <w:szCs w:val="28"/>
      <w:lang w:eastAsia="ar-SA"/>
    </w:rPr>
  </w:style>
  <w:style w:type="character" w:customStyle="1" w:styleId="ref-journal1">
    <w:name w:val="ref-journal1"/>
    <w:rsid w:val="005E3B4F"/>
    <w:rPr>
      <w:i/>
      <w:iCs/>
    </w:rPr>
  </w:style>
  <w:style w:type="character" w:customStyle="1" w:styleId="ref-vol">
    <w:name w:val="ref-vol"/>
    <w:rsid w:val="005E3B4F"/>
  </w:style>
  <w:style w:type="paragraph" w:customStyle="1" w:styleId="GvdeMetniGirintisi21">
    <w:name w:val="Gövde Metni Girintisi 21"/>
    <w:basedOn w:val="Normal"/>
    <w:rsid w:val="005E3B4F"/>
    <w:pPr>
      <w:suppressAutoHyphens/>
      <w:spacing w:after="120" w:line="480" w:lineRule="auto"/>
      <w:ind w:left="283"/>
    </w:pPr>
    <w:rPr>
      <w:smallCaps/>
      <w:szCs w:val="28"/>
      <w:lang w:eastAsia="ar-SA"/>
    </w:rPr>
  </w:style>
  <w:style w:type="paragraph" w:customStyle="1" w:styleId="References">
    <w:name w:val="References"/>
    <w:basedOn w:val="GvdeMetni"/>
    <w:rsid w:val="005E3B4F"/>
    <w:pPr>
      <w:suppressAutoHyphens/>
      <w:spacing w:after="360"/>
      <w:ind w:left="1134" w:hanging="1134"/>
      <w:jc w:val="both"/>
    </w:pPr>
    <w:rPr>
      <w:smallCaps/>
      <w:szCs w:val="20"/>
      <w:lang w:eastAsia="ar-SA"/>
    </w:rPr>
  </w:style>
  <w:style w:type="paragraph" w:customStyle="1" w:styleId="TAMainText">
    <w:name w:val="TA_Main_Text"/>
    <w:basedOn w:val="Normal"/>
    <w:rsid w:val="00D92D7D"/>
    <w:pPr>
      <w:suppressAutoHyphens/>
      <w:spacing w:line="480" w:lineRule="auto"/>
      <w:ind w:firstLine="202"/>
      <w:jc w:val="both"/>
    </w:pPr>
    <w:rPr>
      <w:rFonts w:ascii="Times" w:hAnsi="Times" w:cs="New York"/>
      <w:szCs w:val="20"/>
      <w:lang w:eastAsia="ar-SA"/>
    </w:rPr>
  </w:style>
  <w:style w:type="paragraph" w:customStyle="1" w:styleId="VDTableTitle">
    <w:name w:val="VD_Table_Title"/>
    <w:basedOn w:val="Normal"/>
    <w:next w:val="Normal"/>
    <w:rsid w:val="00474691"/>
    <w:pPr>
      <w:suppressAutoHyphens/>
      <w:spacing w:after="200" w:line="480" w:lineRule="auto"/>
      <w:jc w:val="both"/>
    </w:pPr>
    <w:rPr>
      <w:rFonts w:ascii="Times" w:hAnsi="Times" w:cs="New York"/>
      <w:szCs w:val="20"/>
      <w:lang w:eastAsia="ar-SA"/>
    </w:rPr>
  </w:style>
  <w:style w:type="character" w:customStyle="1" w:styleId="Absatz-Standardschriftart">
    <w:name w:val="Absatz-Standardschriftart"/>
    <w:rsid w:val="00886564"/>
  </w:style>
  <w:style w:type="character" w:customStyle="1" w:styleId="WW-Absatz-Standardschriftart">
    <w:name w:val="WW-Absatz-Standardschriftart"/>
    <w:rsid w:val="00886564"/>
  </w:style>
  <w:style w:type="character" w:customStyle="1" w:styleId="WW8Num1z0">
    <w:name w:val="WW8Num1z0"/>
    <w:rsid w:val="00886564"/>
    <w:rPr>
      <w:rFonts w:ascii="Symbol" w:hAnsi="Symbol"/>
      <w:sz w:val="20"/>
    </w:rPr>
  </w:style>
  <w:style w:type="character" w:customStyle="1" w:styleId="WW8Num1z1">
    <w:name w:val="WW8Num1z1"/>
    <w:rsid w:val="00886564"/>
    <w:rPr>
      <w:rFonts w:ascii="Courier New" w:hAnsi="Courier New"/>
      <w:sz w:val="20"/>
    </w:rPr>
  </w:style>
  <w:style w:type="character" w:customStyle="1" w:styleId="WW8Num1z2">
    <w:name w:val="WW8Num1z2"/>
    <w:rsid w:val="00886564"/>
    <w:rPr>
      <w:rFonts w:ascii="Wingdings" w:hAnsi="Wingdings"/>
      <w:sz w:val="20"/>
    </w:rPr>
  </w:style>
  <w:style w:type="character" w:customStyle="1" w:styleId="WW8Num2z0">
    <w:name w:val="WW8Num2z0"/>
    <w:rsid w:val="00886564"/>
    <w:rPr>
      <w:b w:val="0"/>
    </w:rPr>
  </w:style>
  <w:style w:type="character" w:customStyle="1" w:styleId="WW8Num4z0">
    <w:name w:val="WW8Num4z0"/>
    <w:rsid w:val="00886564"/>
    <w:rPr>
      <w:b w:val="0"/>
      <w:i w:val="0"/>
      <w:sz w:val="24"/>
    </w:rPr>
  </w:style>
  <w:style w:type="character" w:customStyle="1" w:styleId="WW8Num12z0">
    <w:name w:val="WW8Num12z0"/>
    <w:rsid w:val="00886564"/>
    <w:rPr>
      <w:rFonts w:ascii="Symbol" w:eastAsia="Times New Roman" w:hAnsi="Symbol" w:cs="Times New Roman"/>
    </w:rPr>
  </w:style>
  <w:style w:type="character" w:customStyle="1" w:styleId="WW8Num12z1">
    <w:name w:val="WW8Num12z1"/>
    <w:rsid w:val="00886564"/>
    <w:rPr>
      <w:rFonts w:ascii="Courier New" w:hAnsi="Courier New" w:cs="Courier New"/>
    </w:rPr>
  </w:style>
  <w:style w:type="character" w:customStyle="1" w:styleId="WW8Num12z2">
    <w:name w:val="WW8Num12z2"/>
    <w:rsid w:val="00886564"/>
    <w:rPr>
      <w:rFonts w:ascii="Wingdings" w:hAnsi="Wingdings"/>
    </w:rPr>
  </w:style>
  <w:style w:type="character" w:customStyle="1" w:styleId="WW8Num12z3">
    <w:name w:val="WW8Num12z3"/>
    <w:rsid w:val="00886564"/>
    <w:rPr>
      <w:rFonts w:ascii="Symbol" w:hAnsi="Symbol"/>
    </w:rPr>
  </w:style>
  <w:style w:type="character" w:customStyle="1" w:styleId="Tipodeletrapredefinidodopargrafo1">
    <w:name w:val="Tipo de letra predefinido do parágrafo1"/>
    <w:rsid w:val="00886564"/>
  </w:style>
  <w:style w:type="character" w:customStyle="1" w:styleId="sm1">
    <w:name w:val="sm1"/>
    <w:rsid w:val="00886564"/>
    <w:rPr>
      <w:rFonts w:ascii="Arial" w:hAnsi="Arial" w:cs="Arial"/>
      <w:b w:val="0"/>
      <w:bCs w:val="0"/>
      <w:i w:val="0"/>
      <w:iCs w:val="0"/>
      <w:sz w:val="16"/>
      <w:szCs w:val="16"/>
    </w:rPr>
  </w:style>
  <w:style w:type="character" w:customStyle="1" w:styleId="Refdecomentrio1">
    <w:name w:val="Ref. de comentário1"/>
    <w:rsid w:val="00886564"/>
    <w:rPr>
      <w:sz w:val="16"/>
      <w:szCs w:val="16"/>
    </w:rPr>
  </w:style>
  <w:style w:type="character" w:customStyle="1" w:styleId="CarcterCarcter3">
    <w:name w:val="Carácter Carácter3"/>
    <w:rsid w:val="00886564"/>
    <w:rPr>
      <w:rFonts w:ascii="Times" w:hAnsi="Times"/>
      <w:lang w:val="en-US"/>
    </w:rPr>
  </w:style>
  <w:style w:type="character" w:customStyle="1" w:styleId="CarcterCarcter2">
    <w:name w:val="Carácter Carácter2"/>
    <w:rsid w:val="00886564"/>
    <w:rPr>
      <w:rFonts w:ascii="Times" w:hAnsi="Times"/>
      <w:b/>
      <w:bCs/>
      <w:lang w:val="en-US"/>
    </w:rPr>
  </w:style>
  <w:style w:type="character" w:customStyle="1" w:styleId="CarcterCarcter1">
    <w:name w:val="Carácter Carácter1"/>
    <w:rsid w:val="00886564"/>
    <w:rPr>
      <w:rFonts w:ascii="Tahoma" w:hAnsi="Tahoma" w:cs="Tahoma"/>
      <w:sz w:val="16"/>
      <w:szCs w:val="16"/>
      <w:lang w:val="en-US"/>
    </w:rPr>
  </w:style>
  <w:style w:type="character" w:customStyle="1" w:styleId="CarcterCarcter">
    <w:name w:val="Carácter Carácter"/>
    <w:rsid w:val="00886564"/>
    <w:rPr>
      <w:rFonts w:ascii="Times New Roman" w:hAnsi="Times New Roman"/>
      <w:sz w:val="24"/>
      <w:szCs w:val="24"/>
    </w:rPr>
  </w:style>
  <w:style w:type="paragraph" w:customStyle="1" w:styleId="Cabealho1">
    <w:name w:val="Cabeçalho1"/>
    <w:basedOn w:val="Normal"/>
    <w:next w:val="GvdeMetni"/>
    <w:rsid w:val="00886564"/>
    <w:pPr>
      <w:keepNext/>
      <w:suppressAutoHyphens/>
      <w:spacing w:before="240" w:after="120"/>
      <w:jc w:val="both"/>
    </w:pPr>
    <w:rPr>
      <w:rFonts w:ascii="Arial" w:eastAsia="Lucida Sans Unicode" w:hAnsi="Arial" w:cs="Tahoma"/>
      <w:sz w:val="28"/>
      <w:szCs w:val="28"/>
      <w:lang w:eastAsia="ar-SA"/>
    </w:rPr>
  </w:style>
  <w:style w:type="paragraph" w:customStyle="1" w:styleId="Legenda1">
    <w:name w:val="Legenda1"/>
    <w:basedOn w:val="Normal"/>
    <w:next w:val="Normal"/>
    <w:rsid w:val="00886564"/>
    <w:pPr>
      <w:suppressAutoHyphens/>
      <w:spacing w:line="360" w:lineRule="auto"/>
      <w:jc w:val="both"/>
    </w:pPr>
    <w:rPr>
      <w:rFonts w:ascii="Arial" w:hAnsi="Arial" w:cs="New York"/>
      <w:b/>
      <w:sz w:val="22"/>
      <w:szCs w:val="20"/>
      <w:lang w:val="pt-PT" w:eastAsia="ar-SA"/>
    </w:rPr>
  </w:style>
  <w:style w:type="paragraph" w:customStyle="1" w:styleId="ndiceremissivo">
    <w:name w:val="Índice remissivo"/>
    <w:basedOn w:val="Normal"/>
    <w:rsid w:val="00886564"/>
    <w:pPr>
      <w:suppressLineNumbers/>
      <w:suppressAutoHyphens/>
      <w:spacing w:after="200"/>
      <w:jc w:val="both"/>
    </w:pPr>
    <w:rPr>
      <w:rFonts w:ascii="Times" w:hAnsi="Times" w:cs="Tahoma"/>
      <w:szCs w:val="20"/>
      <w:lang w:eastAsia="ar-SA"/>
    </w:rPr>
  </w:style>
  <w:style w:type="paragraph" w:customStyle="1" w:styleId="TFReferencesSection">
    <w:name w:val="TF_References_Section"/>
    <w:basedOn w:val="Normal"/>
    <w:rsid w:val="00886564"/>
    <w:pPr>
      <w:suppressAutoHyphens/>
      <w:spacing w:after="200" w:line="480" w:lineRule="auto"/>
      <w:ind w:firstLine="187"/>
      <w:jc w:val="both"/>
    </w:pPr>
    <w:rPr>
      <w:rFonts w:ascii="Times" w:hAnsi="Times" w:cs="New York"/>
      <w:szCs w:val="20"/>
      <w:lang w:eastAsia="ar-SA"/>
    </w:rPr>
  </w:style>
  <w:style w:type="paragraph" w:customStyle="1" w:styleId="BATitle">
    <w:name w:val="BA_Title"/>
    <w:basedOn w:val="Normal"/>
    <w:next w:val="BBAuthorName"/>
    <w:rsid w:val="00886564"/>
    <w:pPr>
      <w:suppressAutoHyphens/>
      <w:spacing w:before="720" w:after="360" w:line="480" w:lineRule="auto"/>
      <w:jc w:val="center"/>
    </w:pPr>
    <w:rPr>
      <w:rFonts w:cs="New York"/>
      <w:sz w:val="44"/>
      <w:szCs w:val="20"/>
      <w:lang w:eastAsia="ar-SA"/>
    </w:rPr>
  </w:style>
  <w:style w:type="paragraph" w:customStyle="1" w:styleId="BBAuthorName">
    <w:name w:val="BB_Author_Name"/>
    <w:basedOn w:val="Normal"/>
    <w:next w:val="BCAuthorAddress"/>
    <w:rsid w:val="00886564"/>
    <w:pPr>
      <w:suppressAutoHyphens/>
      <w:spacing w:after="240" w:line="480" w:lineRule="auto"/>
      <w:jc w:val="center"/>
    </w:pPr>
    <w:rPr>
      <w:rFonts w:ascii="Times" w:hAnsi="Times" w:cs="New York"/>
      <w:i/>
      <w:szCs w:val="20"/>
      <w:lang w:eastAsia="ar-SA"/>
    </w:rPr>
  </w:style>
  <w:style w:type="paragraph" w:customStyle="1" w:styleId="BCAuthorAddress">
    <w:name w:val="BC_Author_Address"/>
    <w:basedOn w:val="Normal"/>
    <w:next w:val="BIEmailAddress"/>
    <w:rsid w:val="00886564"/>
    <w:pPr>
      <w:suppressAutoHyphens/>
      <w:spacing w:after="240" w:line="480" w:lineRule="auto"/>
      <w:jc w:val="center"/>
    </w:pPr>
    <w:rPr>
      <w:rFonts w:ascii="Times" w:hAnsi="Times" w:cs="New York"/>
      <w:szCs w:val="20"/>
      <w:lang w:eastAsia="ar-SA"/>
    </w:rPr>
  </w:style>
  <w:style w:type="paragraph" w:customStyle="1" w:styleId="BIEmailAddress">
    <w:name w:val="BI_Email_Address"/>
    <w:basedOn w:val="Normal"/>
    <w:next w:val="AIReceivedDate"/>
    <w:rsid w:val="00886564"/>
    <w:pPr>
      <w:suppressAutoHyphens/>
      <w:spacing w:after="200" w:line="480" w:lineRule="auto"/>
      <w:jc w:val="both"/>
    </w:pPr>
    <w:rPr>
      <w:rFonts w:ascii="Times" w:hAnsi="Times" w:cs="New York"/>
      <w:szCs w:val="20"/>
      <w:lang w:eastAsia="ar-SA"/>
    </w:rPr>
  </w:style>
  <w:style w:type="paragraph" w:customStyle="1" w:styleId="AIReceivedDate">
    <w:name w:val="AI_Received_Date"/>
    <w:basedOn w:val="Normal"/>
    <w:next w:val="BDAbstract"/>
    <w:rsid w:val="00886564"/>
    <w:pPr>
      <w:suppressAutoHyphens/>
      <w:spacing w:after="240" w:line="480" w:lineRule="auto"/>
      <w:jc w:val="both"/>
    </w:pPr>
    <w:rPr>
      <w:rFonts w:ascii="Times" w:hAnsi="Times" w:cs="New York"/>
      <w:b/>
      <w:szCs w:val="20"/>
      <w:lang w:eastAsia="ar-SA"/>
    </w:rPr>
  </w:style>
  <w:style w:type="paragraph" w:customStyle="1" w:styleId="BDAbstract">
    <w:name w:val="BD_Abstract"/>
    <w:basedOn w:val="Normal"/>
    <w:next w:val="TAMainText"/>
    <w:rsid w:val="00886564"/>
    <w:pPr>
      <w:suppressAutoHyphens/>
      <w:spacing w:before="360" w:after="360" w:line="480" w:lineRule="auto"/>
      <w:jc w:val="both"/>
    </w:pPr>
    <w:rPr>
      <w:rFonts w:ascii="Times" w:hAnsi="Times" w:cs="New York"/>
      <w:szCs w:val="20"/>
      <w:lang w:eastAsia="ar-SA"/>
    </w:rPr>
  </w:style>
  <w:style w:type="paragraph" w:customStyle="1" w:styleId="TDAcknowledgments">
    <w:name w:val="TD_Acknowledgments"/>
    <w:basedOn w:val="Normal"/>
    <w:next w:val="Normal"/>
    <w:rsid w:val="00886564"/>
    <w:pPr>
      <w:suppressAutoHyphens/>
      <w:spacing w:before="200" w:after="200" w:line="480" w:lineRule="auto"/>
      <w:ind w:firstLine="202"/>
      <w:jc w:val="both"/>
    </w:pPr>
    <w:rPr>
      <w:rFonts w:ascii="Times" w:hAnsi="Times" w:cs="New York"/>
      <w:szCs w:val="20"/>
      <w:lang w:eastAsia="ar-SA"/>
    </w:rPr>
  </w:style>
  <w:style w:type="paragraph" w:customStyle="1" w:styleId="TESupportingInformation">
    <w:name w:val="TE_Supporting_Information"/>
    <w:basedOn w:val="Normal"/>
    <w:next w:val="Normal"/>
    <w:rsid w:val="00886564"/>
    <w:pPr>
      <w:suppressAutoHyphens/>
      <w:spacing w:after="200" w:line="480" w:lineRule="auto"/>
      <w:ind w:firstLine="187"/>
      <w:jc w:val="both"/>
    </w:pPr>
    <w:rPr>
      <w:rFonts w:ascii="Times" w:hAnsi="Times" w:cs="New York"/>
      <w:szCs w:val="20"/>
      <w:lang w:eastAsia="ar-SA"/>
    </w:rPr>
  </w:style>
  <w:style w:type="paragraph" w:customStyle="1" w:styleId="VCSchemeTitle">
    <w:name w:val="VC_Scheme_Title"/>
    <w:basedOn w:val="Normal"/>
    <w:next w:val="Normal"/>
    <w:rsid w:val="00886564"/>
    <w:pPr>
      <w:suppressAutoHyphens/>
      <w:spacing w:after="200" w:line="480" w:lineRule="auto"/>
      <w:jc w:val="both"/>
    </w:pPr>
    <w:rPr>
      <w:rFonts w:ascii="Times" w:hAnsi="Times" w:cs="New York"/>
      <w:szCs w:val="20"/>
      <w:lang w:eastAsia="ar-SA"/>
    </w:rPr>
  </w:style>
  <w:style w:type="paragraph" w:customStyle="1" w:styleId="VAFigureCaption">
    <w:name w:val="VA_Figure_Caption"/>
    <w:basedOn w:val="Normal"/>
    <w:next w:val="Normal"/>
    <w:rsid w:val="00886564"/>
    <w:pPr>
      <w:suppressAutoHyphens/>
      <w:spacing w:after="200" w:line="480" w:lineRule="auto"/>
      <w:jc w:val="both"/>
    </w:pPr>
    <w:rPr>
      <w:rFonts w:ascii="Times" w:hAnsi="Times" w:cs="New York"/>
      <w:szCs w:val="20"/>
      <w:lang w:eastAsia="ar-SA"/>
    </w:rPr>
  </w:style>
  <w:style w:type="paragraph" w:customStyle="1" w:styleId="VBChartTitle">
    <w:name w:val="VB_Chart_Title"/>
    <w:basedOn w:val="Normal"/>
    <w:next w:val="Normal"/>
    <w:rsid w:val="00886564"/>
    <w:pPr>
      <w:suppressAutoHyphens/>
      <w:spacing w:after="200" w:line="480" w:lineRule="auto"/>
      <w:jc w:val="both"/>
    </w:pPr>
    <w:rPr>
      <w:rFonts w:ascii="Times" w:hAnsi="Times" w:cs="New York"/>
      <w:szCs w:val="20"/>
      <w:lang w:eastAsia="ar-SA"/>
    </w:rPr>
  </w:style>
  <w:style w:type="paragraph" w:customStyle="1" w:styleId="FETableFootnote">
    <w:name w:val="FE_Table_Footnote"/>
    <w:basedOn w:val="Normal"/>
    <w:next w:val="Normal"/>
    <w:rsid w:val="00886564"/>
    <w:pPr>
      <w:suppressAutoHyphens/>
      <w:spacing w:after="200"/>
      <w:ind w:firstLine="187"/>
      <w:jc w:val="both"/>
    </w:pPr>
    <w:rPr>
      <w:rFonts w:ascii="Times" w:hAnsi="Times" w:cs="New York"/>
      <w:szCs w:val="20"/>
      <w:lang w:eastAsia="ar-SA"/>
    </w:rPr>
  </w:style>
  <w:style w:type="paragraph" w:customStyle="1" w:styleId="FCChartFootnote">
    <w:name w:val="FC_Chart_Footnote"/>
    <w:basedOn w:val="Normal"/>
    <w:next w:val="Normal"/>
    <w:rsid w:val="00886564"/>
    <w:pPr>
      <w:suppressAutoHyphens/>
      <w:spacing w:after="200"/>
      <w:ind w:firstLine="187"/>
      <w:jc w:val="both"/>
    </w:pPr>
    <w:rPr>
      <w:rFonts w:ascii="Times" w:hAnsi="Times" w:cs="New York"/>
      <w:szCs w:val="20"/>
      <w:lang w:eastAsia="ar-SA"/>
    </w:rPr>
  </w:style>
  <w:style w:type="paragraph" w:customStyle="1" w:styleId="FDSchemeFootnote">
    <w:name w:val="FD_Scheme_Footnote"/>
    <w:basedOn w:val="Normal"/>
    <w:next w:val="Normal"/>
    <w:rsid w:val="00886564"/>
    <w:pPr>
      <w:suppressAutoHyphens/>
      <w:spacing w:after="200"/>
      <w:ind w:firstLine="187"/>
      <w:jc w:val="both"/>
    </w:pPr>
    <w:rPr>
      <w:rFonts w:ascii="Times" w:hAnsi="Times" w:cs="New York"/>
      <w:szCs w:val="20"/>
      <w:lang w:eastAsia="ar-SA"/>
    </w:rPr>
  </w:style>
  <w:style w:type="paragraph" w:customStyle="1" w:styleId="TCTableBody">
    <w:name w:val="TC_Table_Body"/>
    <w:basedOn w:val="Normal"/>
    <w:rsid w:val="00886564"/>
    <w:pPr>
      <w:suppressAutoHyphens/>
      <w:spacing w:after="200"/>
      <w:jc w:val="both"/>
    </w:pPr>
    <w:rPr>
      <w:rFonts w:ascii="Times" w:hAnsi="Times" w:cs="New York"/>
      <w:szCs w:val="20"/>
      <w:lang w:eastAsia="ar-SA"/>
    </w:rPr>
  </w:style>
  <w:style w:type="paragraph" w:customStyle="1" w:styleId="AFTitleRunningHead">
    <w:name w:val="AF_Title_Running_Head"/>
    <w:basedOn w:val="Normal"/>
    <w:next w:val="TAMainText"/>
    <w:rsid w:val="00886564"/>
    <w:pPr>
      <w:suppressAutoHyphens/>
      <w:spacing w:after="200" w:line="480" w:lineRule="auto"/>
      <w:jc w:val="both"/>
    </w:pPr>
    <w:rPr>
      <w:rFonts w:ascii="Times" w:hAnsi="Times" w:cs="New York"/>
      <w:szCs w:val="20"/>
      <w:lang w:eastAsia="ar-SA"/>
    </w:rPr>
  </w:style>
  <w:style w:type="paragraph" w:customStyle="1" w:styleId="BEAuthorBiography">
    <w:name w:val="BE_Author_Biography"/>
    <w:basedOn w:val="Normal"/>
    <w:rsid w:val="00886564"/>
    <w:pPr>
      <w:suppressAutoHyphens/>
      <w:spacing w:after="200" w:line="480" w:lineRule="auto"/>
      <w:jc w:val="both"/>
    </w:pPr>
    <w:rPr>
      <w:rFonts w:ascii="Times" w:hAnsi="Times" w:cs="New York"/>
      <w:szCs w:val="20"/>
      <w:lang w:eastAsia="ar-SA"/>
    </w:rPr>
  </w:style>
  <w:style w:type="paragraph" w:customStyle="1" w:styleId="FACorrespondingAuthorFootnote">
    <w:name w:val="FA_Corresponding_Author_Footnote"/>
    <w:basedOn w:val="Normal"/>
    <w:next w:val="TAMainText"/>
    <w:rsid w:val="00886564"/>
    <w:pPr>
      <w:suppressAutoHyphens/>
      <w:spacing w:after="200" w:line="480" w:lineRule="auto"/>
      <w:jc w:val="both"/>
    </w:pPr>
    <w:rPr>
      <w:rFonts w:ascii="Times" w:hAnsi="Times" w:cs="New York"/>
      <w:szCs w:val="20"/>
      <w:lang w:eastAsia="ar-SA"/>
    </w:rPr>
  </w:style>
  <w:style w:type="paragraph" w:customStyle="1" w:styleId="SNSynopsisTOC">
    <w:name w:val="SN_Synopsis_TOC"/>
    <w:basedOn w:val="Normal"/>
    <w:rsid w:val="00886564"/>
    <w:pPr>
      <w:suppressAutoHyphens/>
      <w:spacing w:after="200" w:line="480" w:lineRule="auto"/>
      <w:jc w:val="both"/>
    </w:pPr>
    <w:rPr>
      <w:rFonts w:ascii="Times" w:hAnsi="Times" w:cs="New York"/>
      <w:szCs w:val="20"/>
      <w:lang w:eastAsia="ar-SA"/>
    </w:rPr>
  </w:style>
  <w:style w:type="paragraph" w:customStyle="1" w:styleId="BGKeywords">
    <w:name w:val="BG_Keywords"/>
    <w:basedOn w:val="Normal"/>
    <w:rsid w:val="00886564"/>
    <w:pPr>
      <w:suppressAutoHyphens/>
      <w:spacing w:after="200" w:line="480" w:lineRule="auto"/>
      <w:jc w:val="both"/>
    </w:pPr>
    <w:rPr>
      <w:rFonts w:ascii="Times" w:hAnsi="Times" w:cs="New York"/>
      <w:szCs w:val="20"/>
      <w:lang w:eastAsia="ar-SA"/>
    </w:rPr>
  </w:style>
  <w:style w:type="paragraph" w:customStyle="1" w:styleId="BHBriefs">
    <w:name w:val="BH_Briefs"/>
    <w:basedOn w:val="Normal"/>
    <w:rsid w:val="00886564"/>
    <w:pPr>
      <w:suppressAutoHyphens/>
      <w:spacing w:after="200" w:line="480" w:lineRule="auto"/>
      <w:jc w:val="both"/>
    </w:pPr>
    <w:rPr>
      <w:rFonts w:ascii="Times" w:hAnsi="Times" w:cs="New York"/>
      <w:szCs w:val="20"/>
      <w:lang w:eastAsia="ar-SA"/>
    </w:rPr>
  </w:style>
  <w:style w:type="paragraph" w:customStyle="1" w:styleId="Abstract">
    <w:name w:val="Abstract"/>
    <w:basedOn w:val="Normal"/>
    <w:rsid w:val="00886564"/>
    <w:pPr>
      <w:suppressAutoHyphens/>
      <w:ind w:left="284"/>
      <w:jc w:val="both"/>
    </w:pPr>
    <w:rPr>
      <w:rFonts w:cs="New York"/>
      <w:sz w:val="18"/>
      <w:szCs w:val="20"/>
      <w:lang w:val="it-IT" w:eastAsia="ar-SA"/>
    </w:rPr>
  </w:style>
  <w:style w:type="paragraph" w:customStyle="1" w:styleId="Corpodetexto21">
    <w:name w:val="Corpo de texto 21"/>
    <w:basedOn w:val="Normal"/>
    <w:rsid w:val="00886564"/>
    <w:pPr>
      <w:suppressAutoHyphens/>
      <w:spacing w:after="200"/>
      <w:jc w:val="both"/>
    </w:pPr>
    <w:rPr>
      <w:rFonts w:ascii="Verdana" w:hAnsi="Verdana" w:cs="New York"/>
      <w:sz w:val="19"/>
      <w:szCs w:val="19"/>
      <w:lang w:eastAsia="ar-SA"/>
    </w:rPr>
  </w:style>
  <w:style w:type="paragraph" w:customStyle="1" w:styleId="Textodebalo1">
    <w:name w:val="Texto de balão1"/>
    <w:basedOn w:val="Normal"/>
    <w:rsid w:val="00886564"/>
    <w:pPr>
      <w:suppressAutoHyphens/>
      <w:spacing w:after="200"/>
      <w:jc w:val="both"/>
    </w:pPr>
    <w:rPr>
      <w:rFonts w:ascii="Tahoma" w:hAnsi="Tahoma" w:cs="Tahoma"/>
      <w:sz w:val="16"/>
      <w:szCs w:val="16"/>
      <w:lang w:eastAsia="ar-SA"/>
    </w:rPr>
  </w:style>
  <w:style w:type="paragraph" w:customStyle="1" w:styleId="Avanodecorpodetexto21">
    <w:name w:val="Avanço de corpo de texto 21"/>
    <w:basedOn w:val="Normal"/>
    <w:rsid w:val="00886564"/>
    <w:pPr>
      <w:suppressAutoHyphens/>
      <w:spacing w:after="120" w:line="480" w:lineRule="auto"/>
      <w:ind w:left="360"/>
      <w:jc w:val="both"/>
    </w:pPr>
    <w:rPr>
      <w:rFonts w:ascii="Times" w:hAnsi="Times" w:cs="New York"/>
      <w:szCs w:val="20"/>
      <w:lang w:eastAsia="ar-SA"/>
    </w:rPr>
  </w:style>
  <w:style w:type="paragraph" w:customStyle="1" w:styleId="Textodecomentrio1">
    <w:name w:val="Texto de comentário1"/>
    <w:basedOn w:val="Normal"/>
    <w:rsid w:val="00886564"/>
    <w:pPr>
      <w:suppressAutoHyphens/>
      <w:spacing w:after="200"/>
      <w:jc w:val="both"/>
    </w:pPr>
    <w:rPr>
      <w:rFonts w:ascii="Times" w:hAnsi="Times" w:cs="New York"/>
      <w:sz w:val="20"/>
      <w:szCs w:val="20"/>
      <w:lang w:eastAsia="ar-SA"/>
    </w:rPr>
  </w:style>
  <w:style w:type="paragraph" w:customStyle="1" w:styleId="Contedodatabela">
    <w:name w:val="Conteúdo da tabela"/>
    <w:basedOn w:val="Normal"/>
    <w:rsid w:val="00886564"/>
    <w:pPr>
      <w:suppressLineNumbers/>
      <w:suppressAutoHyphens/>
      <w:spacing w:after="200"/>
      <w:jc w:val="both"/>
    </w:pPr>
    <w:rPr>
      <w:rFonts w:ascii="Times" w:hAnsi="Times" w:cs="New York"/>
      <w:szCs w:val="20"/>
      <w:lang w:eastAsia="ar-SA"/>
    </w:rPr>
  </w:style>
  <w:style w:type="paragraph" w:customStyle="1" w:styleId="Cabealhodatabela">
    <w:name w:val="Cabeçalho da tabela"/>
    <w:basedOn w:val="Contedodatabela"/>
    <w:rsid w:val="00886564"/>
    <w:pPr>
      <w:jc w:val="center"/>
    </w:pPr>
    <w:rPr>
      <w:b/>
      <w:bCs/>
    </w:rPr>
  </w:style>
  <w:style w:type="paragraph" w:styleId="Dzeltme">
    <w:name w:val="Revision"/>
    <w:hidden/>
    <w:uiPriority w:val="99"/>
    <w:semiHidden/>
    <w:rsid w:val="00886564"/>
    <w:rPr>
      <w:rFonts w:ascii="Times" w:hAnsi="Times" w:cs="New York"/>
      <w:sz w:val="24"/>
      <w:lang w:val="en-US" w:eastAsia="ar-SA"/>
    </w:rPr>
  </w:style>
  <w:style w:type="character" w:customStyle="1" w:styleId="GvdeMetniChar">
    <w:name w:val="Gövde Metni Char"/>
    <w:link w:val="GvdeMetni"/>
    <w:uiPriority w:val="99"/>
    <w:locked/>
    <w:rsid w:val="00BF1C1C"/>
    <w:rPr>
      <w:sz w:val="24"/>
      <w:szCs w:val="24"/>
      <w:lang w:val="en-US" w:eastAsia="en-US"/>
    </w:rPr>
  </w:style>
  <w:style w:type="character" w:styleId="HTMLCite">
    <w:name w:val="HTML Cite"/>
    <w:uiPriority w:val="99"/>
    <w:rsid w:val="00BF1C1C"/>
    <w:rPr>
      <w:rFonts w:cs="Times New Roman"/>
      <w:i/>
      <w:iCs/>
    </w:rPr>
  </w:style>
  <w:style w:type="character" w:customStyle="1" w:styleId="alt-edited">
    <w:name w:val="alt-edited"/>
    <w:uiPriority w:val="99"/>
    <w:rsid w:val="00BF1C1C"/>
    <w:rPr>
      <w:rFonts w:cs="Times New Roman"/>
    </w:rPr>
  </w:style>
  <w:style w:type="character" w:customStyle="1" w:styleId="BalonMetniChar">
    <w:name w:val="Balon Metni Char"/>
    <w:link w:val="BalonMetni"/>
    <w:locked/>
    <w:rsid w:val="00BF1C1C"/>
    <w:rPr>
      <w:rFonts w:ascii="Tahoma" w:hAnsi="Tahoma" w:cs="Tahoma"/>
      <w:sz w:val="16"/>
      <w:szCs w:val="16"/>
      <w:lang w:val="en-US" w:eastAsia="en-US"/>
    </w:rPr>
  </w:style>
  <w:style w:type="character" w:customStyle="1" w:styleId="GvdeMetni3Char">
    <w:name w:val="Gövde Metni 3 Char"/>
    <w:link w:val="GvdeMetni3"/>
    <w:uiPriority w:val="99"/>
    <w:locked/>
    <w:rsid w:val="00BF1C1C"/>
    <w:rPr>
      <w:sz w:val="16"/>
      <w:szCs w:val="16"/>
      <w:lang w:val="en-US" w:eastAsia="en-US"/>
    </w:rPr>
  </w:style>
  <w:style w:type="paragraph" w:styleId="ListeParagraf">
    <w:name w:val="List Paragraph"/>
    <w:basedOn w:val="Normal"/>
    <w:uiPriority w:val="34"/>
    <w:qFormat/>
    <w:rsid w:val="00BF1C1C"/>
    <w:pPr>
      <w:ind w:left="720"/>
      <w:contextualSpacing/>
    </w:pPr>
    <w:rPr>
      <w:lang w:eastAsia="tr-TR"/>
    </w:rPr>
  </w:style>
  <w:style w:type="character" w:styleId="YerTutucuMetni">
    <w:name w:val="Placeholder Text"/>
    <w:uiPriority w:val="99"/>
    <w:semiHidden/>
    <w:rsid w:val="00BF1C1C"/>
    <w:rPr>
      <w:rFonts w:cs="Times New Roman"/>
      <w:color w:val="808080"/>
    </w:rPr>
  </w:style>
  <w:style w:type="character" w:customStyle="1" w:styleId="label">
    <w:name w:val="label"/>
    <w:uiPriority w:val="99"/>
    <w:rsid w:val="00BF1C1C"/>
    <w:rPr>
      <w:rFonts w:cs="Times New Roman"/>
    </w:rPr>
  </w:style>
  <w:style w:type="character" w:customStyle="1" w:styleId="value">
    <w:name w:val="value"/>
    <w:uiPriority w:val="99"/>
    <w:rsid w:val="00BF1C1C"/>
    <w:rPr>
      <w:rFonts w:cs="Times New Roman"/>
    </w:rPr>
  </w:style>
  <w:style w:type="paragraph" w:styleId="AralkYok">
    <w:name w:val="No Spacing"/>
    <w:link w:val="AralkYokChar"/>
    <w:uiPriority w:val="1"/>
    <w:qFormat/>
    <w:rsid w:val="00A57F4A"/>
    <w:rPr>
      <w:rFonts w:ascii="Calibri" w:hAnsi="Calibri"/>
      <w:sz w:val="22"/>
      <w:szCs w:val="22"/>
      <w:lang w:val="en-IN" w:eastAsia="en-IN"/>
    </w:rPr>
  </w:style>
  <w:style w:type="character" w:customStyle="1" w:styleId="object2">
    <w:name w:val="object2"/>
    <w:rsid w:val="005F6C8A"/>
    <w:rPr>
      <w:strike w:val="0"/>
      <w:dstrike w:val="0"/>
      <w:color w:val="00008B"/>
      <w:u w:val="none"/>
      <w:effect w:val="none"/>
    </w:rPr>
  </w:style>
  <w:style w:type="character" w:customStyle="1" w:styleId="sheader61">
    <w:name w:val="sheader61"/>
    <w:rsid w:val="006E1598"/>
    <w:rPr>
      <w:rFonts w:ascii="Times New Roman" w:hAnsi="Times New Roman" w:cs="Times New Roman" w:hint="default"/>
      <w:sz w:val="34"/>
      <w:szCs w:val="34"/>
    </w:rPr>
  </w:style>
  <w:style w:type="paragraph" w:customStyle="1" w:styleId="Style">
    <w:name w:val="Style"/>
    <w:rsid w:val="006E1598"/>
    <w:pPr>
      <w:widowControl w:val="0"/>
      <w:autoSpaceDE w:val="0"/>
      <w:autoSpaceDN w:val="0"/>
      <w:adjustRightInd w:val="0"/>
    </w:pPr>
    <w:rPr>
      <w:sz w:val="24"/>
      <w:szCs w:val="24"/>
      <w:lang w:val="en-US" w:eastAsia="en-US" w:bidi="fa-IR"/>
    </w:rPr>
  </w:style>
  <w:style w:type="table" w:styleId="AkGlgeleme">
    <w:name w:val="Light Shading"/>
    <w:basedOn w:val="NormalTablo"/>
    <w:uiPriority w:val="60"/>
    <w:rsid w:val="00C32349"/>
    <w:rPr>
      <w:rFonts w:ascii="Calibri" w:eastAsia="Calibri" w:hAnsi="Calibri" w:cs="Arial"/>
      <w:color w:val="000000"/>
      <w:sz w:val="22"/>
      <w:szCs w:val="22"/>
      <w:lang w:val="en-US" w:eastAsia="en-US"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1">
    <w:name w:val="Açık Gölgeleme1"/>
    <w:basedOn w:val="NormalTablo"/>
    <w:uiPriority w:val="60"/>
    <w:rsid w:val="00196B62"/>
    <w:rPr>
      <w:rFonts w:ascii="Calibri" w:eastAsia="Calibri" w:hAnsi="Calibri"/>
      <w:color w:val="000000"/>
      <w:sz w:val="22"/>
      <w:szCs w:val="22"/>
      <w:lang w:val="en-GB"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uto-style26">
    <w:name w:val="auto-style26"/>
    <w:basedOn w:val="Normal"/>
    <w:rsid w:val="00E32246"/>
    <w:pPr>
      <w:spacing w:before="100" w:beforeAutospacing="1" w:after="100" w:afterAutospacing="1"/>
      <w:jc w:val="center"/>
    </w:pPr>
    <w:rPr>
      <w:lang w:eastAsia="tr-TR"/>
    </w:rPr>
  </w:style>
  <w:style w:type="paragraph" w:customStyle="1" w:styleId="auto-style14">
    <w:name w:val="auto-style14"/>
    <w:basedOn w:val="Normal"/>
    <w:rsid w:val="00E32246"/>
    <w:pPr>
      <w:jc w:val="center"/>
    </w:pPr>
    <w:rPr>
      <w:lang w:eastAsia="tr-TR"/>
    </w:rPr>
  </w:style>
  <w:style w:type="character" w:customStyle="1" w:styleId="FontStyle48">
    <w:name w:val="Font Style48"/>
    <w:rsid w:val="00B221FD"/>
    <w:rPr>
      <w:rFonts w:ascii="Times New Roman" w:hAnsi="Times New Roman" w:cs="Times New Roman"/>
      <w:sz w:val="18"/>
      <w:szCs w:val="18"/>
    </w:rPr>
  </w:style>
  <w:style w:type="character" w:customStyle="1" w:styleId="nbapihighlight">
    <w:name w:val="nbapihighlight"/>
    <w:basedOn w:val="VarsaylanParagrafYazTipi"/>
    <w:rsid w:val="00B221FD"/>
  </w:style>
  <w:style w:type="paragraph" w:customStyle="1" w:styleId="Style8">
    <w:name w:val="Style8"/>
    <w:basedOn w:val="Normal"/>
    <w:rsid w:val="00B221FD"/>
    <w:pPr>
      <w:widowControl w:val="0"/>
      <w:autoSpaceDE w:val="0"/>
      <w:autoSpaceDN w:val="0"/>
      <w:adjustRightInd w:val="0"/>
      <w:spacing w:line="253" w:lineRule="exact"/>
      <w:ind w:firstLine="173"/>
      <w:jc w:val="both"/>
    </w:pPr>
    <w:rPr>
      <w:rFonts w:ascii="Arial" w:hAnsi="Arial"/>
      <w:lang w:val="bg-BG" w:eastAsia="bg-BG"/>
    </w:rPr>
  </w:style>
  <w:style w:type="character" w:customStyle="1" w:styleId="FontStyle47">
    <w:name w:val="Font Style47"/>
    <w:rsid w:val="00B221FD"/>
    <w:rPr>
      <w:rFonts w:ascii="Times New Roman" w:hAnsi="Times New Roman" w:cs="Times New Roman"/>
      <w:i/>
      <w:iCs/>
      <w:sz w:val="18"/>
      <w:szCs w:val="18"/>
    </w:rPr>
  </w:style>
  <w:style w:type="character" w:customStyle="1" w:styleId="FontStyle46">
    <w:name w:val="Font Style46"/>
    <w:rsid w:val="00B221FD"/>
    <w:rPr>
      <w:rFonts w:ascii="Times New Roman" w:hAnsi="Times New Roman" w:cs="Times New Roman"/>
      <w:i/>
      <w:iCs/>
      <w:sz w:val="16"/>
      <w:szCs w:val="16"/>
    </w:rPr>
  </w:style>
  <w:style w:type="character" w:customStyle="1" w:styleId="FontStyle52">
    <w:name w:val="Font Style52"/>
    <w:rsid w:val="00B5289A"/>
    <w:rPr>
      <w:rFonts w:ascii="Times New Roman" w:hAnsi="Times New Roman" w:cs="Times New Roman"/>
      <w:sz w:val="16"/>
      <w:szCs w:val="16"/>
    </w:rPr>
  </w:style>
  <w:style w:type="character" w:customStyle="1" w:styleId="FontStyle54">
    <w:name w:val="Font Style54"/>
    <w:rsid w:val="00B5289A"/>
    <w:rPr>
      <w:rFonts w:ascii="Times New Roman" w:hAnsi="Times New Roman" w:cs="Times New Roman"/>
      <w:i/>
      <w:iCs/>
      <w:sz w:val="16"/>
      <w:szCs w:val="16"/>
    </w:rPr>
  </w:style>
  <w:style w:type="paragraph" w:customStyle="1" w:styleId="Style23">
    <w:name w:val="Style23"/>
    <w:basedOn w:val="Normal"/>
    <w:rsid w:val="00B5289A"/>
    <w:pPr>
      <w:widowControl w:val="0"/>
      <w:autoSpaceDE w:val="0"/>
      <w:autoSpaceDN w:val="0"/>
      <w:adjustRightInd w:val="0"/>
      <w:spacing w:line="204" w:lineRule="exact"/>
    </w:pPr>
    <w:rPr>
      <w:rFonts w:ascii="Arial" w:hAnsi="Arial"/>
      <w:lang w:val="bg-BG" w:eastAsia="bg-BG"/>
    </w:rPr>
  </w:style>
  <w:style w:type="character" w:customStyle="1" w:styleId="citationweb">
    <w:name w:val="citation web"/>
    <w:basedOn w:val="VarsaylanParagrafYazTipi"/>
    <w:rsid w:val="00B5289A"/>
  </w:style>
  <w:style w:type="character" w:customStyle="1" w:styleId="searchresultjournal">
    <w:name w:val="searchresultjournal"/>
    <w:basedOn w:val="VarsaylanParagrafYazTipi"/>
    <w:rsid w:val="00B5289A"/>
  </w:style>
  <w:style w:type="character" w:customStyle="1" w:styleId="FontStyle43">
    <w:name w:val="Font Style43"/>
    <w:rsid w:val="004A61F3"/>
    <w:rPr>
      <w:rFonts w:ascii="Times New Roman" w:hAnsi="Times New Roman" w:cs="Times New Roman"/>
      <w:b/>
      <w:bCs/>
      <w:sz w:val="18"/>
      <w:szCs w:val="18"/>
    </w:rPr>
  </w:style>
  <w:style w:type="paragraph" w:customStyle="1" w:styleId="EndNoteBibliography">
    <w:name w:val="EndNote Bibliography"/>
    <w:basedOn w:val="Normal"/>
    <w:link w:val="EndNoteBibliographyChar"/>
    <w:rsid w:val="001D367C"/>
    <w:pPr>
      <w:ind w:firstLine="709"/>
      <w:jc w:val="both"/>
    </w:pPr>
    <w:rPr>
      <w:rFonts w:ascii="Calibri" w:eastAsiaTheme="minorHAnsi" w:hAnsi="Calibri" w:cs="Calibri"/>
      <w:noProof/>
      <w:sz w:val="22"/>
      <w:szCs w:val="22"/>
      <w:lang w:val="en-US"/>
    </w:rPr>
  </w:style>
  <w:style w:type="character" w:customStyle="1" w:styleId="EndNoteBibliographyChar">
    <w:name w:val="EndNote Bibliography Char"/>
    <w:basedOn w:val="VarsaylanParagrafYazTipi"/>
    <w:link w:val="EndNoteBibliography"/>
    <w:rsid w:val="001D367C"/>
    <w:rPr>
      <w:rFonts w:ascii="Calibri" w:eastAsiaTheme="minorHAnsi" w:hAnsi="Calibri" w:cs="Calibri"/>
      <w:noProof/>
      <w:sz w:val="22"/>
      <w:szCs w:val="22"/>
      <w:lang w:val="en-US" w:eastAsia="en-US"/>
    </w:rPr>
  </w:style>
  <w:style w:type="paragraph" w:styleId="Kaynaka">
    <w:name w:val="Bibliography"/>
    <w:basedOn w:val="Normal"/>
    <w:next w:val="Normal"/>
    <w:uiPriority w:val="37"/>
    <w:unhideWhenUsed/>
    <w:rsid w:val="001D367C"/>
    <w:pPr>
      <w:ind w:firstLine="709"/>
      <w:jc w:val="both"/>
    </w:pPr>
    <w:rPr>
      <w:rFonts w:asciiTheme="minorHAnsi" w:eastAsiaTheme="minorHAnsi" w:hAnsiTheme="minorHAnsi" w:cstheme="minorBidi"/>
      <w:sz w:val="22"/>
      <w:szCs w:val="22"/>
    </w:rPr>
  </w:style>
  <w:style w:type="table" w:customStyle="1" w:styleId="DzTablo21">
    <w:name w:val="Düz Tablo 21"/>
    <w:basedOn w:val="NormalTablo"/>
    <w:uiPriority w:val="42"/>
    <w:rsid w:val="00CE3CD4"/>
    <w:pPr>
      <w:ind w:firstLine="709"/>
      <w:jc w:val="both"/>
    </w:pPr>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kale2Char">
    <w:name w:val="makale 2 Char"/>
    <w:basedOn w:val="VarsaylanParagrafYazTipi"/>
    <w:link w:val="makale2"/>
    <w:locked/>
    <w:rsid w:val="00F72E66"/>
    <w:rPr>
      <w:b/>
      <w:sz w:val="24"/>
      <w:szCs w:val="24"/>
    </w:rPr>
  </w:style>
  <w:style w:type="paragraph" w:customStyle="1" w:styleId="makale2">
    <w:name w:val="makale 2"/>
    <w:basedOn w:val="Normal"/>
    <w:link w:val="makale2Char"/>
    <w:qFormat/>
    <w:rsid w:val="00F72E66"/>
    <w:pPr>
      <w:spacing w:before="480" w:after="240" w:line="360" w:lineRule="auto"/>
      <w:jc w:val="both"/>
    </w:pPr>
    <w:rPr>
      <w:b/>
      <w:lang w:eastAsia="tr-TR"/>
    </w:rPr>
  </w:style>
  <w:style w:type="character" w:customStyle="1" w:styleId="makale3Char">
    <w:name w:val="makale 3 Char"/>
    <w:basedOn w:val="VarsaylanParagrafYazTipi"/>
    <w:link w:val="makale3"/>
    <w:locked/>
    <w:rsid w:val="00F72E66"/>
    <w:rPr>
      <w:rFonts w:eastAsia="Calibri"/>
      <w:b/>
      <w:sz w:val="24"/>
      <w:szCs w:val="24"/>
    </w:rPr>
  </w:style>
  <w:style w:type="paragraph" w:customStyle="1" w:styleId="makale3">
    <w:name w:val="makale 3"/>
    <w:basedOn w:val="Normal"/>
    <w:link w:val="makale3Char"/>
    <w:qFormat/>
    <w:rsid w:val="00F72E66"/>
    <w:pPr>
      <w:spacing w:before="240" w:after="120" w:line="360" w:lineRule="auto"/>
      <w:jc w:val="both"/>
    </w:pPr>
    <w:rPr>
      <w:rFonts w:eastAsia="Calibri"/>
      <w:b/>
      <w:lang w:eastAsia="tr-TR"/>
    </w:rPr>
  </w:style>
  <w:style w:type="character" w:customStyle="1" w:styleId="makale4Char">
    <w:name w:val="makale 4 Char"/>
    <w:basedOn w:val="VarsaylanParagrafYazTipi"/>
    <w:link w:val="makale4"/>
    <w:locked/>
    <w:rsid w:val="00F72E66"/>
    <w:rPr>
      <w:b/>
      <w:i/>
      <w:sz w:val="24"/>
      <w:szCs w:val="24"/>
    </w:rPr>
  </w:style>
  <w:style w:type="paragraph" w:customStyle="1" w:styleId="makale4">
    <w:name w:val="makale 4"/>
    <w:basedOn w:val="Normal"/>
    <w:link w:val="makale4Char"/>
    <w:qFormat/>
    <w:rsid w:val="00F72E66"/>
    <w:pPr>
      <w:spacing w:before="120" w:after="120" w:line="360" w:lineRule="auto"/>
      <w:jc w:val="both"/>
    </w:pPr>
    <w:rPr>
      <w:b/>
      <w:i/>
      <w:lang w:eastAsia="tr-TR"/>
    </w:rPr>
  </w:style>
  <w:style w:type="character" w:customStyle="1" w:styleId="Tez6Char">
    <w:name w:val="Tez6 Char"/>
    <w:basedOn w:val="VarsaylanParagrafYazTipi"/>
    <w:link w:val="Tez6"/>
    <w:locked/>
    <w:rsid w:val="00F72E66"/>
    <w:rPr>
      <w:rFonts w:eastAsia="Calibri"/>
      <w:b/>
    </w:rPr>
  </w:style>
  <w:style w:type="paragraph" w:customStyle="1" w:styleId="Tez6">
    <w:name w:val="Tez6"/>
    <w:basedOn w:val="Normal"/>
    <w:link w:val="Tez6Char"/>
    <w:qFormat/>
    <w:rsid w:val="00F72E66"/>
    <w:pPr>
      <w:autoSpaceDE w:val="0"/>
      <w:autoSpaceDN w:val="0"/>
      <w:adjustRightInd w:val="0"/>
      <w:spacing w:before="360" w:after="180" w:line="360" w:lineRule="auto"/>
      <w:jc w:val="center"/>
    </w:pPr>
    <w:rPr>
      <w:rFonts w:eastAsia="Calibri"/>
      <w:b/>
      <w:sz w:val="20"/>
      <w:szCs w:val="20"/>
      <w:lang w:eastAsia="tr-TR"/>
    </w:rPr>
  </w:style>
  <w:style w:type="table" w:styleId="AkGlgeleme-Vurgu5">
    <w:name w:val="Light Shading Accent 5"/>
    <w:basedOn w:val="NormalTablo"/>
    <w:uiPriority w:val="60"/>
    <w:rsid w:val="00F72E66"/>
    <w:rPr>
      <w:rFonts w:asciiTheme="minorHAnsi" w:eastAsiaTheme="minorHAnsi" w:hAnsiTheme="minorHAnsi" w:cstheme="minorBid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HTMLncedenBiimlendirilmi">
    <w:name w:val="HTML Preformatted"/>
    <w:basedOn w:val="Normal"/>
    <w:link w:val="HTMLncedenBiimlendirilmiChar"/>
    <w:uiPriority w:val="99"/>
    <w:unhideWhenUsed/>
    <w:rsid w:val="00CA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A6C81"/>
    <w:rPr>
      <w:rFonts w:ascii="Courier New" w:hAnsi="Courier New" w:cs="Courier New"/>
    </w:rPr>
  </w:style>
  <w:style w:type="paragraph" w:customStyle="1" w:styleId="Tablo">
    <w:name w:val="Tablo"/>
    <w:basedOn w:val="KonuBal"/>
    <w:next w:val="Normal"/>
    <w:qFormat/>
    <w:rsid w:val="004732C4"/>
    <w:pPr>
      <w:numPr>
        <w:numId w:val="1"/>
      </w:numPr>
      <w:pBdr>
        <w:bottom w:val="single" w:sz="8" w:space="4" w:color="5B9BD5" w:themeColor="accent1"/>
      </w:pBdr>
      <w:spacing w:after="300" w:line="240" w:lineRule="auto"/>
      <w:ind w:left="0" w:firstLine="0"/>
      <w:contextualSpacing/>
      <w:jc w:val="left"/>
    </w:pPr>
    <w:rPr>
      <w:rFonts w:asciiTheme="majorHAnsi" w:eastAsiaTheme="majorEastAsia" w:hAnsiTheme="majorHAnsi" w:cstheme="majorBidi"/>
      <w:b w:val="0"/>
      <w:bCs w:val="0"/>
      <w:color w:val="323E4F" w:themeColor="text2" w:themeShade="BF"/>
      <w:spacing w:val="5"/>
      <w:kern w:val="28"/>
      <w:sz w:val="52"/>
      <w:szCs w:val="52"/>
      <w:lang w:eastAsia="en-US"/>
    </w:rPr>
  </w:style>
  <w:style w:type="character" w:customStyle="1" w:styleId="A8">
    <w:name w:val="A8"/>
    <w:uiPriority w:val="99"/>
    <w:rsid w:val="004732C4"/>
    <w:rPr>
      <w:rFonts w:cs="Dutch801HdEU"/>
      <w:color w:val="000000"/>
      <w:sz w:val="16"/>
      <w:szCs w:val="16"/>
    </w:rPr>
  </w:style>
  <w:style w:type="character" w:customStyle="1" w:styleId="A4">
    <w:name w:val="A4"/>
    <w:uiPriority w:val="99"/>
    <w:rsid w:val="004732C4"/>
    <w:rPr>
      <w:color w:val="000000"/>
      <w:sz w:val="20"/>
      <w:szCs w:val="20"/>
    </w:rPr>
  </w:style>
  <w:style w:type="paragraph" w:customStyle="1" w:styleId="TezMetni10Satr">
    <w:name w:val="Tez Metni_1.0 Satır"/>
    <w:rsid w:val="00246BE3"/>
    <w:pPr>
      <w:ind w:firstLine="709"/>
      <w:jc w:val="both"/>
    </w:pPr>
    <w:rPr>
      <w:sz w:val="24"/>
      <w:szCs w:val="24"/>
    </w:rPr>
  </w:style>
  <w:style w:type="character" w:customStyle="1" w:styleId="WW-NormalWeb1Char">
    <w:name w:val="WW-Normal (Web)1 Char"/>
    <w:link w:val="WW-NormalWeb1"/>
    <w:rsid w:val="00246BE3"/>
    <w:rPr>
      <w:sz w:val="24"/>
      <w:szCs w:val="24"/>
      <w:lang w:eastAsia="ar-SA"/>
    </w:rPr>
  </w:style>
  <w:style w:type="paragraph" w:customStyle="1" w:styleId="KaynaklarListesi">
    <w:name w:val="Kaynaklar Listesi"/>
    <w:rsid w:val="00EB6925"/>
    <w:pPr>
      <w:ind w:left="567" w:hanging="567"/>
      <w:jc w:val="both"/>
    </w:pPr>
    <w:rPr>
      <w:sz w:val="24"/>
      <w:szCs w:val="24"/>
    </w:rPr>
  </w:style>
  <w:style w:type="character" w:customStyle="1" w:styleId="grame">
    <w:name w:val="grame"/>
    <w:basedOn w:val="VarsaylanParagrafYazTipi"/>
    <w:rsid w:val="0069694D"/>
  </w:style>
  <w:style w:type="character" w:customStyle="1" w:styleId="A2">
    <w:name w:val="A2"/>
    <w:uiPriority w:val="99"/>
    <w:rsid w:val="00530A77"/>
    <w:rPr>
      <w:rFonts w:cs="Book Antiqua"/>
      <w:color w:val="000000"/>
      <w:sz w:val="20"/>
      <w:szCs w:val="20"/>
    </w:rPr>
  </w:style>
  <w:style w:type="character" w:customStyle="1" w:styleId="AralkYokChar">
    <w:name w:val="Aralık Yok Char"/>
    <w:link w:val="AralkYok"/>
    <w:uiPriority w:val="1"/>
    <w:rsid w:val="00150063"/>
    <w:rPr>
      <w:rFonts w:ascii="Calibri" w:hAnsi="Calibri"/>
      <w:sz w:val="22"/>
      <w:szCs w:val="22"/>
      <w:lang w:val="en-IN" w:eastAsia="en-IN"/>
    </w:rPr>
  </w:style>
  <w:style w:type="paragraph" w:customStyle="1" w:styleId="Altbilgi0">
    <w:name w:val="Altbilgi"/>
    <w:basedOn w:val="Normal"/>
    <w:link w:val="AltbilgiChar0"/>
    <w:rsid w:val="00F72F2E"/>
    <w:pPr>
      <w:tabs>
        <w:tab w:val="center" w:pos="4680"/>
        <w:tab w:val="right" w:pos="9360"/>
      </w:tabs>
    </w:pPr>
    <w:rPr>
      <w:rFonts w:eastAsia="SimSun"/>
      <w:lang w:val="fi-FI" w:eastAsia="zh-CN" w:bidi="he-IL"/>
    </w:rPr>
  </w:style>
  <w:style w:type="character" w:customStyle="1" w:styleId="AltbilgiChar0">
    <w:name w:val="Altbilgi Char"/>
    <w:link w:val="Altbilgi0"/>
    <w:rsid w:val="00F72F2E"/>
    <w:rPr>
      <w:rFonts w:eastAsia="SimSun"/>
      <w:sz w:val="24"/>
      <w:szCs w:val="24"/>
      <w:lang w:val="fi-FI" w:eastAsia="zh-CN" w:bidi="he-IL"/>
    </w:rPr>
  </w:style>
  <w:style w:type="paragraph" w:customStyle="1" w:styleId="stbilgi0">
    <w:name w:val="Üstbilgi"/>
    <w:basedOn w:val="Normal"/>
    <w:link w:val="stbilgiChar0"/>
    <w:uiPriority w:val="99"/>
    <w:rsid w:val="00F72F2E"/>
    <w:pPr>
      <w:tabs>
        <w:tab w:val="center" w:pos="4680"/>
        <w:tab w:val="right" w:pos="9360"/>
      </w:tabs>
    </w:pPr>
    <w:rPr>
      <w:rFonts w:eastAsia="SimSun"/>
      <w:lang w:val="fi-FI" w:eastAsia="zh-CN" w:bidi="he-IL"/>
    </w:rPr>
  </w:style>
  <w:style w:type="character" w:customStyle="1" w:styleId="stbilgiChar0">
    <w:name w:val="Üstbilgi Char"/>
    <w:link w:val="stbilgi0"/>
    <w:uiPriority w:val="99"/>
    <w:rsid w:val="00F72F2E"/>
    <w:rPr>
      <w:rFonts w:eastAsia="SimSun"/>
      <w:sz w:val="24"/>
      <w:szCs w:val="24"/>
      <w:lang w:val="fi-FI" w:eastAsia="zh-CN" w:bidi="he-IL"/>
    </w:rPr>
  </w:style>
  <w:style w:type="paragraph" w:customStyle="1" w:styleId="EndNoteBibliographyTitle">
    <w:name w:val="EndNote Bibliography Title"/>
    <w:basedOn w:val="Normal"/>
    <w:link w:val="EndNoteBibliographyTitleChar"/>
    <w:rsid w:val="00F72F2E"/>
    <w:pPr>
      <w:jc w:val="center"/>
    </w:pPr>
    <w:rPr>
      <w:rFonts w:eastAsia="SimSun"/>
      <w:noProof/>
      <w:lang w:val="x-none" w:eastAsia="zh-CN" w:bidi="he-IL"/>
    </w:rPr>
  </w:style>
  <w:style w:type="character" w:customStyle="1" w:styleId="EndNoteBibliographyTitleChar">
    <w:name w:val="EndNote Bibliography Title Char"/>
    <w:link w:val="EndNoteBibliographyTitle"/>
    <w:rsid w:val="00F72F2E"/>
    <w:rPr>
      <w:rFonts w:eastAsia="SimSun"/>
      <w:noProof/>
      <w:sz w:val="24"/>
      <w:szCs w:val="24"/>
      <w:lang w:val="x-none" w:eastAsia="zh-CN" w:bidi="he-IL"/>
    </w:rPr>
  </w:style>
  <w:style w:type="character" w:customStyle="1" w:styleId="current-selection">
    <w:name w:val="current-selection"/>
    <w:rsid w:val="00F72F2E"/>
  </w:style>
  <w:style w:type="character" w:customStyle="1" w:styleId="a1">
    <w:name w:val="_"/>
    <w:rsid w:val="00F72F2E"/>
  </w:style>
  <w:style w:type="table" w:customStyle="1" w:styleId="TabloKlavuzu1">
    <w:name w:val="Tablo Kılavuzu1"/>
    <w:basedOn w:val="NormalTablo"/>
    <w:next w:val="TabloKlavuzu"/>
    <w:uiPriority w:val="59"/>
    <w:rsid w:val="00A37C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3811">
      <w:bodyDiv w:val="1"/>
      <w:marLeft w:val="0"/>
      <w:marRight w:val="0"/>
      <w:marTop w:val="0"/>
      <w:marBottom w:val="0"/>
      <w:divBdr>
        <w:top w:val="none" w:sz="0" w:space="0" w:color="auto"/>
        <w:left w:val="none" w:sz="0" w:space="0" w:color="auto"/>
        <w:bottom w:val="none" w:sz="0" w:space="0" w:color="auto"/>
        <w:right w:val="none" w:sz="0" w:space="0" w:color="auto"/>
      </w:divBdr>
    </w:div>
    <w:div w:id="93407708">
      <w:bodyDiv w:val="1"/>
      <w:marLeft w:val="0"/>
      <w:marRight w:val="0"/>
      <w:marTop w:val="0"/>
      <w:marBottom w:val="0"/>
      <w:divBdr>
        <w:top w:val="none" w:sz="0" w:space="0" w:color="auto"/>
        <w:left w:val="none" w:sz="0" w:space="0" w:color="auto"/>
        <w:bottom w:val="none" w:sz="0" w:space="0" w:color="auto"/>
        <w:right w:val="none" w:sz="0" w:space="0" w:color="auto"/>
      </w:divBdr>
    </w:div>
    <w:div w:id="186411285">
      <w:bodyDiv w:val="1"/>
      <w:marLeft w:val="0"/>
      <w:marRight w:val="0"/>
      <w:marTop w:val="0"/>
      <w:marBottom w:val="0"/>
      <w:divBdr>
        <w:top w:val="none" w:sz="0" w:space="0" w:color="auto"/>
        <w:left w:val="none" w:sz="0" w:space="0" w:color="auto"/>
        <w:bottom w:val="none" w:sz="0" w:space="0" w:color="auto"/>
        <w:right w:val="none" w:sz="0" w:space="0" w:color="auto"/>
      </w:divBdr>
    </w:div>
    <w:div w:id="202014425">
      <w:bodyDiv w:val="1"/>
      <w:marLeft w:val="0"/>
      <w:marRight w:val="0"/>
      <w:marTop w:val="0"/>
      <w:marBottom w:val="0"/>
      <w:divBdr>
        <w:top w:val="none" w:sz="0" w:space="0" w:color="auto"/>
        <w:left w:val="none" w:sz="0" w:space="0" w:color="auto"/>
        <w:bottom w:val="none" w:sz="0" w:space="0" w:color="auto"/>
        <w:right w:val="none" w:sz="0" w:space="0" w:color="auto"/>
      </w:divBdr>
    </w:div>
    <w:div w:id="256595619">
      <w:bodyDiv w:val="1"/>
      <w:marLeft w:val="0"/>
      <w:marRight w:val="0"/>
      <w:marTop w:val="0"/>
      <w:marBottom w:val="0"/>
      <w:divBdr>
        <w:top w:val="none" w:sz="0" w:space="0" w:color="auto"/>
        <w:left w:val="none" w:sz="0" w:space="0" w:color="auto"/>
        <w:bottom w:val="none" w:sz="0" w:space="0" w:color="auto"/>
        <w:right w:val="none" w:sz="0" w:space="0" w:color="auto"/>
      </w:divBdr>
    </w:div>
    <w:div w:id="263148569">
      <w:bodyDiv w:val="1"/>
      <w:marLeft w:val="0"/>
      <w:marRight w:val="0"/>
      <w:marTop w:val="0"/>
      <w:marBottom w:val="0"/>
      <w:divBdr>
        <w:top w:val="none" w:sz="0" w:space="0" w:color="auto"/>
        <w:left w:val="none" w:sz="0" w:space="0" w:color="auto"/>
        <w:bottom w:val="none" w:sz="0" w:space="0" w:color="auto"/>
        <w:right w:val="none" w:sz="0" w:space="0" w:color="auto"/>
      </w:divBdr>
    </w:div>
    <w:div w:id="263998388">
      <w:bodyDiv w:val="1"/>
      <w:marLeft w:val="0"/>
      <w:marRight w:val="0"/>
      <w:marTop w:val="0"/>
      <w:marBottom w:val="0"/>
      <w:divBdr>
        <w:top w:val="none" w:sz="0" w:space="0" w:color="auto"/>
        <w:left w:val="none" w:sz="0" w:space="0" w:color="auto"/>
        <w:bottom w:val="none" w:sz="0" w:space="0" w:color="auto"/>
        <w:right w:val="none" w:sz="0" w:space="0" w:color="auto"/>
      </w:divBdr>
    </w:div>
    <w:div w:id="283393965">
      <w:bodyDiv w:val="1"/>
      <w:marLeft w:val="0"/>
      <w:marRight w:val="0"/>
      <w:marTop w:val="0"/>
      <w:marBottom w:val="0"/>
      <w:divBdr>
        <w:top w:val="none" w:sz="0" w:space="0" w:color="auto"/>
        <w:left w:val="none" w:sz="0" w:space="0" w:color="auto"/>
        <w:bottom w:val="none" w:sz="0" w:space="0" w:color="auto"/>
        <w:right w:val="none" w:sz="0" w:space="0" w:color="auto"/>
      </w:divBdr>
    </w:div>
    <w:div w:id="357007257">
      <w:bodyDiv w:val="1"/>
      <w:marLeft w:val="0"/>
      <w:marRight w:val="0"/>
      <w:marTop w:val="0"/>
      <w:marBottom w:val="0"/>
      <w:divBdr>
        <w:top w:val="none" w:sz="0" w:space="0" w:color="auto"/>
        <w:left w:val="none" w:sz="0" w:space="0" w:color="auto"/>
        <w:bottom w:val="none" w:sz="0" w:space="0" w:color="auto"/>
        <w:right w:val="none" w:sz="0" w:space="0" w:color="auto"/>
      </w:divBdr>
      <w:divsChild>
        <w:div w:id="1630017845">
          <w:marLeft w:val="120"/>
          <w:marRight w:val="75"/>
          <w:marTop w:val="0"/>
          <w:marBottom w:val="0"/>
          <w:divBdr>
            <w:top w:val="none" w:sz="0" w:space="0" w:color="auto"/>
            <w:left w:val="none" w:sz="0" w:space="0" w:color="auto"/>
            <w:bottom w:val="none" w:sz="0" w:space="0" w:color="auto"/>
            <w:right w:val="none" w:sz="0" w:space="0" w:color="auto"/>
          </w:divBdr>
          <w:divsChild>
            <w:div w:id="438109407">
              <w:marLeft w:val="0"/>
              <w:marRight w:val="0"/>
              <w:marTop w:val="0"/>
              <w:marBottom w:val="0"/>
              <w:divBdr>
                <w:top w:val="none" w:sz="0" w:space="0" w:color="auto"/>
                <w:left w:val="none" w:sz="0" w:space="0" w:color="auto"/>
                <w:bottom w:val="none" w:sz="0" w:space="0" w:color="auto"/>
                <w:right w:val="none" w:sz="0" w:space="0" w:color="auto"/>
              </w:divBdr>
              <w:divsChild>
                <w:div w:id="616986907">
                  <w:marLeft w:val="0"/>
                  <w:marRight w:val="0"/>
                  <w:marTop w:val="0"/>
                  <w:marBottom w:val="0"/>
                  <w:divBdr>
                    <w:top w:val="none" w:sz="0" w:space="0" w:color="auto"/>
                    <w:left w:val="none" w:sz="0" w:space="0" w:color="auto"/>
                    <w:bottom w:val="none" w:sz="0" w:space="0" w:color="auto"/>
                    <w:right w:val="none" w:sz="0" w:space="0" w:color="auto"/>
                  </w:divBdr>
                  <w:divsChild>
                    <w:div w:id="1071124515">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sChild>
                            <w:div w:id="15547013">
                              <w:marLeft w:val="0"/>
                              <w:marRight w:val="0"/>
                              <w:marTop w:val="0"/>
                              <w:marBottom w:val="0"/>
                              <w:divBdr>
                                <w:top w:val="none" w:sz="0" w:space="0" w:color="auto"/>
                                <w:left w:val="none" w:sz="0" w:space="0" w:color="auto"/>
                                <w:bottom w:val="none" w:sz="0" w:space="0" w:color="auto"/>
                                <w:right w:val="none" w:sz="0" w:space="0" w:color="auto"/>
                              </w:divBdr>
                              <w:divsChild>
                                <w:div w:id="230309659">
                                  <w:marLeft w:val="0"/>
                                  <w:marRight w:val="0"/>
                                  <w:marTop w:val="0"/>
                                  <w:marBottom w:val="0"/>
                                  <w:divBdr>
                                    <w:top w:val="none" w:sz="0" w:space="0" w:color="auto"/>
                                    <w:left w:val="none" w:sz="0" w:space="0" w:color="auto"/>
                                    <w:bottom w:val="none" w:sz="0" w:space="0" w:color="auto"/>
                                    <w:right w:val="none" w:sz="0" w:space="0" w:color="auto"/>
                                  </w:divBdr>
                                  <w:divsChild>
                                    <w:div w:id="342249535">
                                      <w:marLeft w:val="0"/>
                                      <w:marRight w:val="0"/>
                                      <w:marTop w:val="0"/>
                                      <w:marBottom w:val="0"/>
                                      <w:divBdr>
                                        <w:top w:val="none" w:sz="0" w:space="0" w:color="auto"/>
                                        <w:left w:val="none" w:sz="0" w:space="0" w:color="auto"/>
                                        <w:bottom w:val="none" w:sz="0" w:space="0" w:color="auto"/>
                                        <w:right w:val="none" w:sz="0" w:space="0" w:color="auto"/>
                                      </w:divBdr>
                                      <w:divsChild>
                                        <w:div w:id="792483256">
                                          <w:marLeft w:val="0"/>
                                          <w:marRight w:val="0"/>
                                          <w:marTop w:val="0"/>
                                          <w:marBottom w:val="0"/>
                                          <w:divBdr>
                                            <w:top w:val="none" w:sz="0" w:space="0" w:color="auto"/>
                                            <w:left w:val="none" w:sz="0" w:space="0" w:color="auto"/>
                                            <w:bottom w:val="none" w:sz="0" w:space="0" w:color="auto"/>
                                            <w:right w:val="none" w:sz="0" w:space="0" w:color="auto"/>
                                          </w:divBdr>
                                          <w:divsChild>
                                            <w:div w:id="1275481525">
                                              <w:marLeft w:val="0"/>
                                              <w:marRight w:val="0"/>
                                              <w:marTop w:val="0"/>
                                              <w:marBottom w:val="0"/>
                                              <w:divBdr>
                                                <w:top w:val="none" w:sz="0" w:space="0" w:color="auto"/>
                                                <w:left w:val="none" w:sz="0" w:space="0" w:color="auto"/>
                                                <w:bottom w:val="none" w:sz="0" w:space="0" w:color="auto"/>
                                                <w:right w:val="none" w:sz="0" w:space="0" w:color="auto"/>
                                              </w:divBdr>
                                              <w:divsChild>
                                                <w:div w:id="1508642352">
                                                  <w:marLeft w:val="0"/>
                                                  <w:marRight w:val="0"/>
                                                  <w:marTop w:val="0"/>
                                                  <w:marBottom w:val="0"/>
                                                  <w:divBdr>
                                                    <w:top w:val="none" w:sz="0" w:space="0" w:color="auto"/>
                                                    <w:left w:val="none" w:sz="0" w:space="0" w:color="auto"/>
                                                    <w:bottom w:val="none" w:sz="0" w:space="0" w:color="auto"/>
                                                    <w:right w:val="none" w:sz="0" w:space="0" w:color="auto"/>
                                                  </w:divBdr>
                                                  <w:divsChild>
                                                    <w:div w:id="1915159841">
                                                      <w:marLeft w:val="0"/>
                                                      <w:marRight w:val="0"/>
                                                      <w:marTop w:val="0"/>
                                                      <w:marBottom w:val="0"/>
                                                      <w:divBdr>
                                                        <w:top w:val="none" w:sz="0" w:space="0" w:color="auto"/>
                                                        <w:left w:val="none" w:sz="0" w:space="0" w:color="auto"/>
                                                        <w:bottom w:val="none" w:sz="0" w:space="0" w:color="auto"/>
                                                        <w:right w:val="none" w:sz="0" w:space="0" w:color="auto"/>
                                                      </w:divBdr>
                                                      <w:divsChild>
                                                        <w:div w:id="14019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2411025">
      <w:bodyDiv w:val="1"/>
      <w:marLeft w:val="0"/>
      <w:marRight w:val="0"/>
      <w:marTop w:val="0"/>
      <w:marBottom w:val="0"/>
      <w:divBdr>
        <w:top w:val="none" w:sz="0" w:space="0" w:color="auto"/>
        <w:left w:val="none" w:sz="0" w:space="0" w:color="auto"/>
        <w:bottom w:val="none" w:sz="0" w:space="0" w:color="auto"/>
        <w:right w:val="none" w:sz="0" w:space="0" w:color="auto"/>
      </w:divBdr>
    </w:div>
    <w:div w:id="404835612">
      <w:bodyDiv w:val="1"/>
      <w:marLeft w:val="0"/>
      <w:marRight w:val="0"/>
      <w:marTop w:val="0"/>
      <w:marBottom w:val="0"/>
      <w:divBdr>
        <w:top w:val="none" w:sz="0" w:space="0" w:color="auto"/>
        <w:left w:val="none" w:sz="0" w:space="0" w:color="auto"/>
        <w:bottom w:val="none" w:sz="0" w:space="0" w:color="auto"/>
        <w:right w:val="none" w:sz="0" w:space="0" w:color="auto"/>
      </w:divBdr>
    </w:div>
    <w:div w:id="541095241">
      <w:bodyDiv w:val="1"/>
      <w:marLeft w:val="0"/>
      <w:marRight w:val="0"/>
      <w:marTop w:val="0"/>
      <w:marBottom w:val="0"/>
      <w:divBdr>
        <w:top w:val="none" w:sz="0" w:space="0" w:color="auto"/>
        <w:left w:val="none" w:sz="0" w:space="0" w:color="auto"/>
        <w:bottom w:val="none" w:sz="0" w:space="0" w:color="auto"/>
        <w:right w:val="none" w:sz="0" w:space="0" w:color="auto"/>
      </w:divBdr>
    </w:div>
    <w:div w:id="593366335">
      <w:bodyDiv w:val="1"/>
      <w:marLeft w:val="0"/>
      <w:marRight w:val="0"/>
      <w:marTop w:val="0"/>
      <w:marBottom w:val="0"/>
      <w:divBdr>
        <w:top w:val="none" w:sz="0" w:space="0" w:color="auto"/>
        <w:left w:val="none" w:sz="0" w:space="0" w:color="auto"/>
        <w:bottom w:val="none" w:sz="0" w:space="0" w:color="auto"/>
        <w:right w:val="none" w:sz="0" w:space="0" w:color="auto"/>
      </w:divBdr>
    </w:div>
    <w:div w:id="692727262">
      <w:bodyDiv w:val="1"/>
      <w:marLeft w:val="0"/>
      <w:marRight w:val="0"/>
      <w:marTop w:val="0"/>
      <w:marBottom w:val="0"/>
      <w:divBdr>
        <w:top w:val="none" w:sz="0" w:space="0" w:color="auto"/>
        <w:left w:val="none" w:sz="0" w:space="0" w:color="auto"/>
        <w:bottom w:val="none" w:sz="0" w:space="0" w:color="auto"/>
        <w:right w:val="none" w:sz="0" w:space="0" w:color="auto"/>
      </w:divBdr>
    </w:div>
    <w:div w:id="757100656">
      <w:bodyDiv w:val="1"/>
      <w:marLeft w:val="0"/>
      <w:marRight w:val="0"/>
      <w:marTop w:val="0"/>
      <w:marBottom w:val="0"/>
      <w:divBdr>
        <w:top w:val="none" w:sz="0" w:space="0" w:color="auto"/>
        <w:left w:val="none" w:sz="0" w:space="0" w:color="auto"/>
        <w:bottom w:val="none" w:sz="0" w:space="0" w:color="auto"/>
        <w:right w:val="none" w:sz="0" w:space="0" w:color="auto"/>
      </w:divBdr>
    </w:div>
    <w:div w:id="782267196">
      <w:bodyDiv w:val="1"/>
      <w:marLeft w:val="0"/>
      <w:marRight w:val="0"/>
      <w:marTop w:val="0"/>
      <w:marBottom w:val="0"/>
      <w:divBdr>
        <w:top w:val="none" w:sz="0" w:space="0" w:color="auto"/>
        <w:left w:val="none" w:sz="0" w:space="0" w:color="auto"/>
        <w:bottom w:val="none" w:sz="0" w:space="0" w:color="auto"/>
        <w:right w:val="none" w:sz="0" w:space="0" w:color="auto"/>
      </w:divBdr>
    </w:div>
    <w:div w:id="869951564">
      <w:bodyDiv w:val="1"/>
      <w:marLeft w:val="0"/>
      <w:marRight w:val="0"/>
      <w:marTop w:val="0"/>
      <w:marBottom w:val="0"/>
      <w:divBdr>
        <w:top w:val="none" w:sz="0" w:space="0" w:color="auto"/>
        <w:left w:val="none" w:sz="0" w:space="0" w:color="auto"/>
        <w:bottom w:val="none" w:sz="0" w:space="0" w:color="auto"/>
        <w:right w:val="none" w:sz="0" w:space="0" w:color="auto"/>
      </w:divBdr>
    </w:div>
    <w:div w:id="934822916">
      <w:bodyDiv w:val="1"/>
      <w:marLeft w:val="0"/>
      <w:marRight w:val="0"/>
      <w:marTop w:val="0"/>
      <w:marBottom w:val="0"/>
      <w:divBdr>
        <w:top w:val="none" w:sz="0" w:space="0" w:color="auto"/>
        <w:left w:val="none" w:sz="0" w:space="0" w:color="auto"/>
        <w:bottom w:val="none" w:sz="0" w:space="0" w:color="auto"/>
        <w:right w:val="none" w:sz="0" w:space="0" w:color="auto"/>
      </w:divBdr>
    </w:div>
    <w:div w:id="965626547">
      <w:bodyDiv w:val="1"/>
      <w:marLeft w:val="0"/>
      <w:marRight w:val="0"/>
      <w:marTop w:val="0"/>
      <w:marBottom w:val="0"/>
      <w:divBdr>
        <w:top w:val="none" w:sz="0" w:space="0" w:color="auto"/>
        <w:left w:val="none" w:sz="0" w:space="0" w:color="auto"/>
        <w:bottom w:val="none" w:sz="0" w:space="0" w:color="auto"/>
        <w:right w:val="none" w:sz="0" w:space="0" w:color="auto"/>
      </w:divBdr>
    </w:div>
    <w:div w:id="979578833">
      <w:bodyDiv w:val="1"/>
      <w:marLeft w:val="0"/>
      <w:marRight w:val="0"/>
      <w:marTop w:val="0"/>
      <w:marBottom w:val="0"/>
      <w:divBdr>
        <w:top w:val="none" w:sz="0" w:space="0" w:color="auto"/>
        <w:left w:val="none" w:sz="0" w:space="0" w:color="auto"/>
        <w:bottom w:val="none" w:sz="0" w:space="0" w:color="auto"/>
        <w:right w:val="none" w:sz="0" w:space="0" w:color="auto"/>
      </w:divBdr>
    </w:div>
    <w:div w:id="1037239831">
      <w:bodyDiv w:val="1"/>
      <w:marLeft w:val="0"/>
      <w:marRight w:val="0"/>
      <w:marTop w:val="0"/>
      <w:marBottom w:val="0"/>
      <w:divBdr>
        <w:top w:val="none" w:sz="0" w:space="0" w:color="auto"/>
        <w:left w:val="none" w:sz="0" w:space="0" w:color="auto"/>
        <w:bottom w:val="none" w:sz="0" w:space="0" w:color="auto"/>
        <w:right w:val="none" w:sz="0" w:space="0" w:color="auto"/>
      </w:divBdr>
    </w:div>
    <w:div w:id="1073312601">
      <w:bodyDiv w:val="1"/>
      <w:marLeft w:val="0"/>
      <w:marRight w:val="0"/>
      <w:marTop w:val="0"/>
      <w:marBottom w:val="0"/>
      <w:divBdr>
        <w:top w:val="none" w:sz="0" w:space="0" w:color="auto"/>
        <w:left w:val="none" w:sz="0" w:space="0" w:color="auto"/>
        <w:bottom w:val="none" w:sz="0" w:space="0" w:color="auto"/>
        <w:right w:val="none" w:sz="0" w:space="0" w:color="auto"/>
      </w:divBdr>
    </w:div>
    <w:div w:id="1086653148">
      <w:bodyDiv w:val="1"/>
      <w:marLeft w:val="0"/>
      <w:marRight w:val="0"/>
      <w:marTop w:val="0"/>
      <w:marBottom w:val="0"/>
      <w:divBdr>
        <w:top w:val="none" w:sz="0" w:space="0" w:color="auto"/>
        <w:left w:val="none" w:sz="0" w:space="0" w:color="auto"/>
        <w:bottom w:val="none" w:sz="0" w:space="0" w:color="auto"/>
        <w:right w:val="none" w:sz="0" w:space="0" w:color="auto"/>
      </w:divBdr>
    </w:div>
    <w:div w:id="1110322165">
      <w:bodyDiv w:val="1"/>
      <w:marLeft w:val="0"/>
      <w:marRight w:val="0"/>
      <w:marTop w:val="0"/>
      <w:marBottom w:val="0"/>
      <w:divBdr>
        <w:top w:val="none" w:sz="0" w:space="0" w:color="auto"/>
        <w:left w:val="none" w:sz="0" w:space="0" w:color="auto"/>
        <w:bottom w:val="none" w:sz="0" w:space="0" w:color="auto"/>
        <w:right w:val="none" w:sz="0" w:space="0" w:color="auto"/>
      </w:divBdr>
    </w:div>
    <w:div w:id="1115291753">
      <w:bodyDiv w:val="1"/>
      <w:marLeft w:val="0"/>
      <w:marRight w:val="0"/>
      <w:marTop w:val="0"/>
      <w:marBottom w:val="0"/>
      <w:divBdr>
        <w:top w:val="none" w:sz="0" w:space="0" w:color="auto"/>
        <w:left w:val="none" w:sz="0" w:space="0" w:color="auto"/>
        <w:bottom w:val="none" w:sz="0" w:space="0" w:color="auto"/>
        <w:right w:val="none" w:sz="0" w:space="0" w:color="auto"/>
      </w:divBdr>
    </w:div>
    <w:div w:id="1122579843">
      <w:bodyDiv w:val="1"/>
      <w:marLeft w:val="0"/>
      <w:marRight w:val="0"/>
      <w:marTop w:val="0"/>
      <w:marBottom w:val="0"/>
      <w:divBdr>
        <w:top w:val="none" w:sz="0" w:space="0" w:color="auto"/>
        <w:left w:val="none" w:sz="0" w:space="0" w:color="auto"/>
        <w:bottom w:val="none" w:sz="0" w:space="0" w:color="auto"/>
        <w:right w:val="none" w:sz="0" w:space="0" w:color="auto"/>
      </w:divBdr>
      <w:divsChild>
        <w:div w:id="1301955951">
          <w:marLeft w:val="120"/>
          <w:marRight w:val="75"/>
          <w:marTop w:val="0"/>
          <w:marBottom w:val="0"/>
          <w:divBdr>
            <w:top w:val="none" w:sz="0" w:space="0" w:color="auto"/>
            <w:left w:val="none" w:sz="0" w:space="0" w:color="auto"/>
            <w:bottom w:val="none" w:sz="0" w:space="0" w:color="auto"/>
            <w:right w:val="none" w:sz="0" w:space="0" w:color="auto"/>
          </w:divBdr>
          <w:divsChild>
            <w:div w:id="859046954">
              <w:marLeft w:val="0"/>
              <w:marRight w:val="0"/>
              <w:marTop w:val="0"/>
              <w:marBottom w:val="0"/>
              <w:divBdr>
                <w:top w:val="none" w:sz="0" w:space="0" w:color="auto"/>
                <w:left w:val="none" w:sz="0" w:space="0" w:color="auto"/>
                <w:bottom w:val="none" w:sz="0" w:space="0" w:color="auto"/>
                <w:right w:val="none" w:sz="0" w:space="0" w:color="auto"/>
              </w:divBdr>
              <w:divsChild>
                <w:div w:id="241526602">
                  <w:marLeft w:val="0"/>
                  <w:marRight w:val="0"/>
                  <w:marTop w:val="0"/>
                  <w:marBottom w:val="0"/>
                  <w:divBdr>
                    <w:top w:val="none" w:sz="0" w:space="0" w:color="auto"/>
                    <w:left w:val="none" w:sz="0" w:space="0" w:color="auto"/>
                    <w:bottom w:val="none" w:sz="0" w:space="0" w:color="auto"/>
                    <w:right w:val="none" w:sz="0" w:space="0" w:color="auto"/>
                  </w:divBdr>
                  <w:divsChild>
                    <w:div w:id="1947807044">
                      <w:marLeft w:val="0"/>
                      <w:marRight w:val="0"/>
                      <w:marTop w:val="0"/>
                      <w:marBottom w:val="0"/>
                      <w:divBdr>
                        <w:top w:val="none" w:sz="0" w:space="0" w:color="auto"/>
                        <w:left w:val="none" w:sz="0" w:space="0" w:color="auto"/>
                        <w:bottom w:val="none" w:sz="0" w:space="0" w:color="auto"/>
                        <w:right w:val="none" w:sz="0" w:space="0" w:color="auto"/>
                      </w:divBdr>
                      <w:divsChild>
                        <w:div w:id="590087321">
                          <w:marLeft w:val="0"/>
                          <w:marRight w:val="0"/>
                          <w:marTop w:val="0"/>
                          <w:marBottom w:val="0"/>
                          <w:divBdr>
                            <w:top w:val="none" w:sz="0" w:space="0" w:color="auto"/>
                            <w:left w:val="none" w:sz="0" w:space="0" w:color="auto"/>
                            <w:bottom w:val="none" w:sz="0" w:space="0" w:color="auto"/>
                            <w:right w:val="none" w:sz="0" w:space="0" w:color="auto"/>
                          </w:divBdr>
                          <w:divsChild>
                            <w:div w:id="1014919954">
                              <w:marLeft w:val="0"/>
                              <w:marRight w:val="0"/>
                              <w:marTop w:val="0"/>
                              <w:marBottom w:val="0"/>
                              <w:divBdr>
                                <w:top w:val="none" w:sz="0" w:space="0" w:color="auto"/>
                                <w:left w:val="none" w:sz="0" w:space="0" w:color="auto"/>
                                <w:bottom w:val="none" w:sz="0" w:space="0" w:color="auto"/>
                                <w:right w:val="none" w:sz="0" w:space="0" w:color="auto"/>
                              </w:divBdr>
                              <w:divsChild>
                                <w:div w:id="265964124">
                                  <w:marLeft w:val="0"/>
                                  <w:marRight w:val="0"/>
                                  <w:marTop w:val="0"/>
                                  <w:marBottom w:val="0"/>
                                  <w:divBdr>
                                    <w:top w:val="none" w:sz="0" w:space="0" w:color="auto"/>
                                    <w:left w:val="none" w:sz="0" w:space="0" w:color="auto"/>
                                    <w:bottom w:val="none" w:sz="0" w:space="0" w:color="auto"/>
                                    <w:right w:val="none" w:sz="0" w:space="0" w:color="auto"/>
                                  </w:divBdr>
                                  <w:divsChild>
                                    <w:div w:id="1494369825">
                                      <w:marLeft w:val="0"/>
                                      <w:marRight w:val="0"/>
                                      <w:marTop w:val="0"/>
                                      <w:marBottom w:val="0"/>
                                      <w:divBdr>
                                        <w:top w:val="none" w:sz="0" w:space="0" w:color="auto"/>
                                        <w:left w:val="none" w:sz="0" w:space="0" w:color="auto"/>
                                        <w:bottom w:val="none" w:sz="0" w:space="0" w:color="auto"/>
                                        <w:right w:val="none" w:sz="0" w:space="0" w:color="auto"/>
                                      </w:divBdr>
                                      <w:divsChild>
                                        <w:div w:id="37820400">
                                          <w:marLeft w:val="0"/>
                                          <w:marRight w:val="0"/>
                                          <w:marTop w:val="0"/>
                                          <w:marBottom w:val="0"/>
                                          <w:divBdr>
                                            <w:top w:val="none" w:sz="0" w:space="0" w:color="auto"/>
                                            <w:left w:val="none" w:sz="0" w:space="0" w:color="auto"/>
                                            <w:bottom w:val="none" w:sz="0" w:space="0" w:color="auto"/>
                                            <w:right w:val="none" w:sz="0" w:space="0" w:color="auto"/>
                                          </w:divBdr>
                                          <w:divsChild>
                                            <w:div w:id="944582706">
                                              <w:marLeft w:val="0"/>
                                              <w:marRight w:val="0"/>
                                              <w:marTop w:val="0"/>
                                              <w:marBottom w:val="0"/>
                                              <w:divBdr>
                                                <w:top w:val="none" w:sz="0" w:space="0" w:color="auto"/>
                                                <w:left w:val="none" w:sz="0" w:space="0" w:color="auto"/>
                                                <w:bottom w:val="none" w:sz="0" w:space="0" w:color="auto"/>
                                                <w:right w:val="none" w:sz="0" w:space="0" w:color="auto"/>
                                              </w:divBdr>
                                              <w:divsChild>
                                                <w:div w:id="418911505">
                                                  <w:marLeft w:val="0"/>
                                                  <w:marRight w:val="0"/>
                                                  <w:marTop w:val="0"/>
                                                  <w:marBottom w:val="0"/>
                                                  <w:divBdr>
                                                    <w:top w:val="none" w:sz="0" w:space="0" w:color="auto"/>
                                                    <w:left w:val="none" w:sz="0" w:space="0" w:color="auto"/>
                                                    <w:bottom w:val="none" w:sz="0" w:space="0" w:color="auto"/>
                                                    <w:right w:val="none" w:sz="0" w:space="0" w:color="auto"/>
                                                  </w:divBdr>
                                                  <w:divsChild>
                                                    <w:div w:id="1658999624">
                                                      <w:marLeft w:val="0"/>
                                                      <w:marRight w:val="0"/>
                                                      <w:marTop w:val="0"/>
                                                      <w:marBottom w:val="0"/>
                                                      <w:divBdr>
                                                        <w:top w:val="none" w:sz="0" w:space="0" w:color="auto"/>
                                                        <w:left w:val="none" w:sz="0" w:space="0" w:color="auto"/>
                                                        <w:bottom w:val="none" w:sz="0" w:space="0" w:color="auto"/>
                                                        <w:right w:val="none" w:sz="0" w:space="0" w:color="auto"/>
                                                      </w:divBdr>
                                                      <w:divsChild>
                                                        <w:div w:id="3634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130536">
      <w:bodyDiv w:val="1"/>
      <w:marLeft w:val="120"/>
      <w:marRight w:val="120"/>
      <w:marTop w:val="45"/>
      <w:marBottom w:val="45"/>
      <w:divBdr>
        <w:top w:val="none" w:sz="0" w:space="0" w:color="auto"/>
        <w:left w:val="none" w:sz="0" w:space="0" w:color="auto"/>
        <w:bottom w:val="none" w:sz="0" w:space="0" w:color="auto"/>
        <w:right w:val="none" w:sz="0" w:space="0" w:color="auto"/>
      </w:divBdr>
      <w:divsChild>
        <w:div w:id="290215687">
          <w:marLeft w:val="0"/>
          <w:marRight w:val="0"/>
          <w:marTop w:val="0"/>
          <w:marBottom w:val="0"/>
          <w:divBdr>
            <w:top w:val="none" w:sz="0" w:space="0" w:color="auto"/>
            <w:left w:val="none" w:sz="0" w:space="0" w:color="auto"/>
            <w:bottom w:val="none" w:sz="0" w:space="0" w:color="auto"/>
            <w:right w:val="none" w:sz="0" w:space="0" w:color="auto"/>
          </w:divBdr>
          <w:divsChild>
            <w:div w:id="1176648905">
              <w:marLeft w:val="240"/>
              <w:marRight w:val="240"/>
              <w:marTop w:val="0"/>
              <w:marBottom w:val="0"/>
              <w:divBdr>
                <w:top w:val="none" w:sz="0" w:space="0" w:color="auto"/>
                <w:left w:val="none" w:sz="0" w:space="0" w:color="auto"/>
                <w:bottom w:val="none" w:sz="0" w:space="0" w:color="auto"/>
                <w:right w:val="none" w:sz="0" w:space="0" w:color="auto"/>
              </w:divBdr>
              <w:divsChild>
                <w:div w:id="937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2904">
      <w:bodyDiv w:val="1"/>
      <w:marLeft w:val="0"/>
      <w:marRight w:val="0"/>
      <w:marTop w:val="0"/>
      <w:marBottom w:val="0"/>
      <w:divBdr>
        <w:top w:val="none" w:sz="0" w:space="0" w:color="auto"/>
        <w:left w:val="none" w:sz="0" w:space="0" w:color="auto"/>
        <w:bottom w:val="none" w:sz="0" w:space="0" w:color="auto"/>
        <w:right w:val="none" w:sz="0" w:space="0" w:color="auto"/>
      </w:divBdr>
    </w:div>
    <w:div w:id="1235120877">
      <w:bodyDiv w:val="1"/>
      <w:marLeft w:val="0"/>
      <w:marRight w:val="0"/>
      <w:marTop w:val="0"/>
      <w:marBottom w:val="0"/>
      <w:divBdr>
        <w:top w:val="none" w:sz="0" w:space="0" w:color="auto"/>
        <w:left w:val="none" w:sz="0" w:space="0" w:color="auto"/>
        <w:bottom w:val="none" w:sz="0" w:space="0" w:color="auto"/>
        <w:right w:val="none" w:sz="0" w:space="0" w:color="auto"/>
      </w:divBdr>
    </w:div>
    <w:div w:id="1252931630">
      <w:bodyDiv w:val="1"/>
      <w:marLeft w:val="0"/>
      <w:marRight w:val="0"/>
      <w:marTop w:val="0"/>
      <w:marBottom w:val="0"/>
      <w:divBdr>
        <w:top w:val="none" w:sz="0" w:space="0" w:color="auto"/>
        <w:left w:val="none" w:sz="0" w:space="0" w:color="auto"/>
        <w:bottom w:val="none" w:sz="0" w:space="0" w:color="auto"/>
        <w:right w:val="none" w:sz="0" w:space="0" w:color="auto"/>
      </w:divBdr>
    </w:div>
    <w:div w:id="1303929918">
      <w:bodyDiv w:val="1"/>
      <w:marLeft w:val="0"/>
      <w:marRight w:val="0"/>
      <w:marTop w:val="0"/>
      <w:marBottom w:val="0"/>
      <w:divBdr>
        <w:top w:val="none" w:sz="0" w:space="0" w:color="auto"/>
        <w:left w:val="none" w:sz="0" w:space="0" w:color="auto"/>
        <w:bottom w:val="none" w:sz="0" w:space="0" w:color="auto"/>
        <w:right w:val="none" w:sz="0" w:space="0" w:color="auto"/>
      </w:divBdr>
    </w:div>
    <w:div w:id="1364747616">
      <w:bodyDiv w:val="1"/>
      <w:marLeft w:val="0"/>
      <w:marRight w:val="0"/>
      <w:marTop w:val="0"/>
      <w:marBottom w:val="0"/>
      <w:divBdr>
        <w:top w:val="none" w:sz="0" w:space="0" w:color="auto"/>
        <w:left w:val="none" w:sz="0" w:space="0" w:color="auto"/>
        <w:bottom w:val="none" w:sz="0" w:space="0" w:color="auto"/>
        <w:right w:val="none" w:sz="0" w:space="0" w:color="auto"/>
      </w:divBdr>
    </w:div>
    <w:div w:id="1423989683">
      <w:bodyDiv w:val="1"/>
      <w:marLeft w:val="0"/>
      <w:marRight w:val="0"/>
      <w:marTop w:val="0"/>
      <w:marBottom w:val="0"/>
      <w:divBdr>
        <w:top w:val="none" w:sz="0" w:space="0" w:color="auto"/>
        <w:left w:val="none" w:sz="0" w:space="0" w:color="auto"/>
        <w:bottom w:val="none" w:sz="0" w:space="0" w:color="auto"/>
        <w:right w:val="none" w:sz="0" w:space="0" w:color="auto"/>
      </w:divBdr>
    </w:div>
    <w:div w:id="1664314960">
      <w:bodyDiv w:val="1"/>
      <w:marLeft w:val="0"/>
      <w:marRight w:val="0"/>
      <w:marTop w:val="0"/>
      <w:marBottom w:val="0"/>
      <w:divBdr>
        <w:top w:val="none" w:sz="0" w:space="0" w:color="auto"/>
        <w:left w:val="none" w:sz="0" w:space="0" w:color="auto"/>
        <w:bottom w:val="none" w:sz="0" w:space="0" w:color="auto"/>
        <w:right w:val="none" w:sz="0" w:space="0" w:color="auto"/>
      </w:divBdr>
    </w:div>
    <w:div w:id="1725831518">
      <w:bodyDiv w:val="1"/>
      <w:marLeft w:val="0"/>
      <w:marRight w:val="0"/>
      <w:marTop w:val="0"/>
      <w:marBottom w:val="0"/>
      <w:divBdr>
        <w:top w:val="none" w:sz="0" w:space="0" w:color="auto"/>
        <w:left w:val="none" w:sz="0" w:space="0" w:color="auto"/>
        <w:bottom w:val="none" w:sz="0" w:space="0" w:color="auto"/>
        <w:right w:val="none" w:sz="0" w:space="0" w:color="auto"/>
      </w:divBdr>
    </w:div>
    <w:div w:id="1731077649">
      <w:bodyDiv w:val="1"/>
      <w:marLeft w:val="0"/>
      <w:marRight w:val="0"/>
      <w:marTop w:val="0"/>
      <w:marBottom w:val="0"/>
      <w:divBdr>
        <w:top w:val="none" w:sz="0" w:space="0" w:color="auto"/>
        <w:left w:val="none" w:sz="0" w:space="0" w:color="auto"/>
        <w:bottom w:val="none" w:sz="0" w:space="0" w:color="auto"/>
        <w:right w:val="none" w:sz="0" w:space="0" w:color="auto"/>
      </w:divBdr>
    </w:div>
    <w:div w:id="1763453025">
      <w:bodyDiv w:val="1"/>
      <w:marLeft w:val="0"/>
      <w:marRight w:val="0"/>
      <w:marTop w:val="0"/>
      <w:marBottom w:val="0"/>
      <w:divBdr>
        <w:top w:val="none" w:sz="0" w:space="0" w:color="auto"/>
        <w:left w:val="none" w:sz="0" w:space="0" w:color="auto"/>
        <w:bottom w:val="none" w:sz="0" w:space="0" w:color="auto"/>
        <w:right w:val="none" w:sz="0" w:space="0" w:color="auto"/>
      </w:divBdr>
    </w:div>
    <w:div w:id="1778864153">
      <w:bodyDiv w:val="1"/>
      <w:marLeft w:val="0"/>
      <w:marRight w:val="0"/>
      <w:marTop w:val="0"/>
      <w:marBottom w:val="0"/>
      <w:divBdr>
        <w:top w:val="none" w:sz="0" w:space="0" w:color="auto"/>
        <w:left w:val="none" w:sz="0" w:space="0" w:color="auto"/>
        <w:bottom w:val="none" w:sz="0" w:space="0" w:color="auto"/>
        <w:right w:val="none" w:sz="0" w:space="0" w:color="auto"/>
      </w:divBdr>
    </w:div>
    <w:div w:id="1822773754">
      <w:bodyDiv w:val="1"/>
      <w:marLeft w:val="0"/>
      <w:marRight w:val="0"/>
      <w:marTop w:val="0"/>
      <w:marBottom w:val="0"/>
      <w:divBdr>
        <w:top w:val="none" w:sz="0" w:space="0" w:color="auto"/>
        <w:left w:val="none" w:sz="0" w:space="0" w:color="auto"/>
        <w:bottom w:val="none" w:sz="0" w:space="0" w:color="auto"/>
        <w:right w:val="none" w:sz="0" w:space="0" w:color="auto"/>
      </w:divBdr>
    </w:div>
    <w:div w:id="1846508811">
      <w:bodyDiv w:val="1"/>
      <w:marLeft w:val="0"/>
      <w:marRight w:val="0"/>
      <w:marTop w:val="0"/>
      <w:marBottom w:val="0"/>
      <w:divBdr>
        <w:top w:val="none" w:sz="0" w:space="0" w:color="auto"/>
        <w:left w:val="none" w:sz="0" w:space="0" w:color="auto"/>
        <w:bottom w:val="none" w:sz="0" w:space="0" w:color="auto"/>
        <w:right w:val="none" w:sz="0" w:space="0" w:color="auto"/>
      </w:divBdr>
    </w:div>
    <w:div w:id="1910537796">
      <w:bodyDiv w:val="1"/>
      <w:marLeft w:val="0"/>
      <w:marRight w:val="0"/>
      <w:marTop w:val="0"/>
      <w:marBottom w:val="0"/>
      <w:divBdr>
        <w:top w:val="none" w:sz="0" w:space="0" w:color="auto"/>
        <w:left w:val="none" w:sz="0" w:space="0" w:color="auto"/>
        <w:bottom w:val="none" w:sz="0" w:space="0" w:color="auto"/>
        <w:right w:val="none" w:sz="0" w:space="0" w:color="auto"/>
      </w:divBdr>
    </w:div>
    <w:div w:id="1941715651">
      <w:bodyDiv w:val="1"/>
      <w:marLeft w:val="0"/>
      <w:marRight w:val="0"/>
      <w:marTop w:val="0"/>
      <w:marBottom w:val="0"/>
      <w:divBdr>
        <w:top w:val="none" w:sz="0" w:space="0" w:color="auto"/>
        <w:left w:val="none" w:sz="0" w:space="0" w:color="auto"/>
        <w:bottom w:val="none" w:sz="0" w:space="0" w:color="auto"/>
        <w:right w:val="none" w:sz="0" w:space="0" w:color="auto"/>
      </w:divBdr>
    </w:div>
    <w:div w:id="2003772841">
      <w:bodyDiv w:val="1"/>
      <w:marLeft w:val="0"/>
      <w:marRight w:val="0"/>
      <w:marTop w:val="0"/>
      <w:marBottom w:val="0"/>
      <w:divBdr>
        <w:top w:val="none" w:sz="0" w:space="0" w:color="auto"/>
        <w:left w:val="none" w:sz="0" w:space="0" w:color="auto"/>
        <w:bottom w:val="none" w:sz="0" w:space="0" w:color="auto"/>
        <w:right w:val="none" w:sz="0" w:space="0" w:color="auto"/>
      </w:divBdr>
    </w:div>
    <w:div w:id="2013605625">
      <w:bodyDiv w:val="1"/>
      <w:marLeft w:val="0"/>
      <w:marRight w:val="0"/>
      <w:marTop w:val="0"/>
      <w:marBottom w:val="0"/>
      <w:divBdr>
        <w:top w:val="none" w:sz="0" w:space="0" w:color="auto"/>
        <w:left w:val="none" w:sz="0" w:space="0" w:color="auto"/>
        <w:bottom w:val="none" w:sz="0" w:space="0" w:color="auto"/>
        <w:right w:val="none" w:sz="0" w:space="0" w:color="auto"/>
      </w:divBdr>
    </w:div>
    <w:div w:id="2068256064">
      <w:bodyDiv w:val="1"/>
      <w:marLeft w:val="0"/>
      <w:marRight w:val="0"/>
      <w:marTop w:val="0"/>
      <w:marBottom w:val="0"/>
      <w:divBdr>
        <w:top w:val="none" w:sz="0" w:space="0" w:color="auto"/>
        <w:left w:val="none" w:sz="0" w:space="0" w:color="auto"/>
        <w:bottom w:val="none" w:sz="0" w:space="0" w:color="auto"/>
        <w:right w:val="none" w:sz="0" w:space="0" w:color="auto"/>
      </w:divBdr>
    </w:div>
    <w:div w:id="2085837894">
      <w:bodyDiv w:val="1"/>
      <w:marLeft w:val="0"/>
      <w:marRight w:val="0"/>
      <w:marTop w:val="0"/>
      <w:marBottom w:val="0"/>
      <w:divBdr>
        <w:top w:val="none" w:sz="0" w:space="0" w:color="auto"/>
        <w:left w:val="none" w:sz="0" w:space="0" w:color="auto"/>
        <w:bottom w:val="none" w:sz="0" w:space="0" w:color="auto"/>
        <w:right w:val="none" w:sz="0" w:space="0" w:color="auto"/>
      </w:divBdr>
    </w:div>
    <w:div w:id="2118864828">
      <w:bodyDiv w:val="1"/>
      <w:marLeft w:val="0"/>
      <w:marRight w:val="0"/>
      <w:marTop w:val="0"/>
      <w:marBottom w:val="0"/>
      <w:divBdr>
        <w:top w:val="none" w:sz="0" w:space="0" w:color="auto"/>
        <w:left w:val="none" w:sz="0" w:space="0" w:color="auto"/>
        <w:bottom w:val="none" w:sz="0" w:space="0" w:color="auto"/>
        <w:right w:val="none" w:sz="0" w:space="0" w:color="auto"/>
      </w:divBdr>
      <w:divsChild>
        <w:div w:id="1615015365">
          <w:marLeft w:val="0"/>
          <w:marRight w:val="0"/>
          <w:marTop w:val="0"/>
          <w:marBottom w:val="0"/>
          <w:divBdr>
            <w:top w:val="none" w:sz="0" w:space="0" w:color="auto"/>
            <w:left w:val="none" w:sz="0" w:space="0" w:color="auto"/>
            <w:bottom w:val="none" w:sz="0" w:space="0" w:color="auto"/>
            <w:right w:val="none" w:sz="0" w:space="0" w:color="auto"/>
          </w:divBdr>
          <w:divsChild>
            <w:div w:id="1965455224">
              <w:marLeft w:val="0"/>
              <w:marRight w:val="0"/>
              <w:marTop w:val="0"/>
              <w:marBottom w:val="0"/>
              <w:divBdr>
                <w:top w:val="none" w:sz="0" w:space="0" w:color="auto"/>
                <w:left w:val="none" w:sz="0" w:space="0" w:color="auto"/>
                <w:bottom w:val="none" w:sz="0" w:space="0" w:color="auto"/>
                <w:right w:val="none" w:sz="0" w:space="0" w:color="auto"/>
              </w:divBdr>
              <w:divsChild>
                <w:div w:id="555706902">
                  <w:marLeft w:val="0"/>
                  <w:marRight w:val="0"/>
                  <w:marTop w:val="0"/>
                  <w:marBottom w:val="0"/>
                  <w:divBdr>
                    <w:top w:val="none" w:sz="0" w:space="0" w:color="auto"/>
                    <w:left w:val="none" w:sz="0" w:space="0" w:color="auto"/>
                    <w:bottom w:val="none" w:sz="0" w:space="0" w:color="auto"/>
                    <w:right w:val="none" w:sz="0" w:space="0" w:color="auto"/>
                  </w:divBdr>
                  <w:divsChild>
                    <w:div w:id="590434284">
                      <w:marLeft w:val="0"/>
                      <w:marRight w:val="0"/>
                      <w:marTop w:val="0"/>
                      <w:marBottom w:val="0"/>
                      <w:divBdr>
                        <w:top w:val="none" w:sz="0" w:space="0" w:color="auto"/>
                        <w:left w:val="none" w:sz="0" w:space="0" w:color="auto"/>
                        <w:bottom w:val="none" w:sz="0" w:space="0" w:color="auto"/>
                        <w:right w:val="none" w:sz="0" w:space="0" w:color="auto"/>
                      </w:divBdr>
                      <w:divsChild>
                        <w:div w:id="1775976196">
                          <w:marLeft w:val="0"/>
                          <w:marRight w:val="0"/>
                          <w:marTop w:val="0"/>
                          <w:marBottom w:val="0"/>
                          <w:divBdr>
                            <w:top w:val="none" w:sz="0" w:space="0" w:color="auto"/>
                            <w:left w:val="none" w:sz="0" w:space="0" w:color="auto"/>
                            <w:bottom w:val="none" w:sz="0" w:space="0" w:color="auto"/>
                            <w:right w:val="none" w:sz="0" w:space="0" w:color="auto"/>
                          </w:divBdr>
                          <w:divsChild>
                            <w:div w:id="754396499">
                              <w:marLeft w:val="0"/>
                              <w:marRight w:val="0"/>
                              <w:marTop w:val="0"/>
                              <w:marBottom w:val="0"/>
                              <w:divBdr>
                                <w:top w:val="none" w:sz="0" w:space="0" w:color="auto"/>
                                <w:left w:val="none" w:sz="0" w:space="0" w:color="auto"/>
                                <w:bottom w:val="none" w:sz="0" w:space="0" w:color="auto"/>
                                <w:right w:val="none" w:sz="0" w:space="0" w:color="auto"/>
                              </w:divBdr>
                              <w:divsChild>
                                <w:div w:id="207435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uik.gov.tr/PreTablo.do?alt_id=1001" TargetMode="External"/><Relationship Id="rId2" Type="http://schemas.openxmlformats.org/officeDocument/2006/relationships/numbering" Target="numbering.xml"/><Relationship Id="rId16" Type="http://schemas.openxmlformats.org/officeDocument/2006/relationships/hyperlink" Target="http://www.fao.org/economic/est/est-commodities/citrus-frui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eren.gezer@emu.edu.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Mur07</b:Tag>
    <b:SourceType>JournalArticle</b:SourceType>
    <b:Guid>{99764A7A-DB09-42BA-9C79-C558CDE49E0A}</b:Guid>
    <b:Author>
      <b:Author>
        <b:NameList>
          <b:Person>
            <b:Last>TUNÇTÜRK</b:Last>
            <b:First>Murat</b:First>
          </b:Person>
        </b:NameList>
      </b:Author>
    </b:Author>
    <b:Title>an Kosullarında Bazı Keten (Linum usitatissimum L.) Çesitlerinin Verim ve Bazı Verim Ögelerinin Belirlenmesi</b:Title>
    <b:JournalName>Tarım Bilimleri Dergisi  2007</b:JournalName>
    <b:Year>2007</b:Year>
    <b:Pages> 13 (4) 365-371</b:Pages>
    <b:RefOrder>1</b:RefOrder>
  </b:Source>
  <b:Source>
    <b:Tag>TCo051</b:Tag>
    <b:SourceType>JournalArticle</b:SourceType>
    <b:Guid>{96716256-A955-4973-BA2D-FDEF6EAD84ED}</b:Guid>
    <b:Author>
      <b:Author>
        <b:NameList>
          <b:Person>
            <b:Last>Coşkun</b:Last>
            <b:First>T</b:First>
          </b:Person>
        </b:NameList>
      </b:Author>
    </b:Author>
    <b:Title>Fonksiyonel besinlerin sağlığımız üzerine etkileri</b:Title>
    <b:JournalName>Çocuk Sağlığı Hastalıkları Dergisi</b:JournalName>
    <b:Year>2005</b:Year>
    <b:Pages>69-84</b:Pages>
    <b:RefOrder>2</b:RefOrder>
  </b:Source>
  <b:Source>
    <b:Tag>ASa14</b:Tag>
    <b:SourceType>JournalArticle</b:SourceType>
    <b:Guid>{1660ECC7-EB58-43F3-B769-EA8DBBE54ABD}</b:Guid>
    <b:Author>
      <b:Author>
        <b:NameList>
          <b:Person>
            <b:Last>Sanofer</b:Last>
            <b:First>A</b:First>
          </b:Person>
        </b:NameList>
      </b:Author>
    </b:Author>
    <b:Title>Role of citrus fruits in health</b:Title>
    <b:JournalName>Journal of Pharmaceutical Sciences</b:JournalName>
    <b:Year>2014</b:Year>
    <b:Pages>121-123</b:Pages>
    <b:RefOrder>3</b:RefOrder>
  </b:Source>
  <b:Source>
    <b:Tag>TTu13</b:Tag>
    <b:SourceType>JournalArticle</b:SourceType>
    <b:Guid>{F9EA2E89-8979-4A2C-85B8-409C561111F1}</b:Guid>
    <b:Author>
      <b:Author>
        <b:NameList>
          <b:Person>
            <b:Last>Turner</b:Last>
            <b:First>T</b:First>
          </b:Person>
          <b:Person>
            <b:Last>Burri</b:Last>
            <b:First>B</b:First>
            <b:Middle>J</b:Middle>
          </b:Person>
        </b:NameList>
      </b:Author>
    </b:Author>
    <b:Title>Potential nutritional benefits of current citrus consumption</b:Title>
    <b:JournalName>Agriculture</b:JournalName>
    <b:Year>2013</b:Year>
    <b:Pages>170-187</b:Pages>
    <b:RefOrder>6</b:RefOrder>
  </b:Source>
  <b:Source>
    <b:Tag>MCh12</b:Tag>
    <b:SourceType>JournalArticle</b:SourceType>
    <b:Guid>{275A9919-5046-4FF6-824E-F19B7D3A618A}</b:Guid>
    <b:Author>
      <b:Author>
        <b:NameList>
          <b:Person>
            <b:Last>Choudhary</b:Last>
            <b:First>M</b:First>
          </b:Person>
          <b:Person>
            <b:Last>Grover</b:Last>
            <b:First>K</b:First>
          </b:Person>
        </b:NameList>
      </b:Author>
    </b:Author>
    <b:Title>Development of functional food products in relation to obesity</b:Title>
    <b:JournalName>Functional Foods in Health</b:JournalName>
    <b:Year>2012</b:Year>
    <b:Pages>188-197</b:Pages>
    <b:RefOrder>9</b:RefOrder>
  </b:Source>
  <b:Source>
    <b:Tag>Mos14</b:Tag>
    <b:SourceType>JournalArticle</b:SourceType>
    <b:Guid>{2387AF13-7949-45B0-A52D-18DDCB0830DA}</b:Guid>
    <b:Author>
      <b:Author>
        <b:NameList>
          <b:Person>
            <b:Last>El-Shafey</b:Last>
            <b:First>Mostafa</b:First>
            <b:Middle>M.</b:Middle>
          </b:Person>
          <b:Person>
            <b:Last>Abd-Ellah</b:Last>
            <b:First>Mohamed</b:First>
            <b:Middle>F.</b:Middle>
          </b:Person>
        </b:NameList>
      </b:Author>
    </b:Author>
    <b:Title>Hesperidin Improves Lipid Profile and Attenuates Oxidative Stress in Hypercholesterolemic Rats</b:Title>
    <b:JournalName>International Journal of Pharma Sciences</b:JournalName>
    <b:Year>2014</b:Year>
    <b:Pages>554-559</b:Pages>
    <b:RefOrder>17</b:RefOrder>
  </b:Source>
  <b:Source>
    <b:Tag>Nan13</b:Tag>
    <b:SourceType>JournalArticle</b:SourceType>
    <b:Guid>{E1CB22E1-72D5-455D-B6B3-E5349F6CA0FE}</b:Guid>
    <b:Author>
      <b:Author>
        <b:NameList>
          <b:Person>
            <b:Last>Aptekmann</b:Last>
            <b:First>Nancy</b:First>
            <b:Middle>P.</b:Middle>
          </b:Person>
          <b:Person>
            <b:Last>Cesar</b:Last>
            <b:First>Thais</b:First>
            <b:Middle>B.</b:Middle>
          </b:Person>
        </b:NameList>
      </b:Author>
    </b:Author>
    <b:Title>Long-term orange juice consumption is associated with low LDL-cholesterol and apolipoprotein B in normal and moderately hypercholesterolemic subjects</b:Title>
    <b:JournalName>Lipids in Health and Disease</b:JournalName>
    <b:Year>2013</b:Year>
    <b:Pages>119</b:Pages>
    <b:RefOrder>20</b:RefOrder>
  </b:Source>
  <b:Source>
    <b:Tag>Joe01</b:Tag>
    <b:SourceType>JournalArticle</b:SourceType>
    <b:Guid>{31683FF9-3211-4026-BEAB-4F12EED446C2}</b:Guid>
    <b:Author>
      <b:Author>
        <b:NameList>
          <b:Person>
            <b:Last>Vinson</b:Last>
            <b:First>Joe</b:First>
            <b:Middle>A.</b:Middle>
          </b:Person>
          <b:Person>
            <b:Last>Jang</b:Last>
            <b:First>Jinhee</b:First>
          </b:Person>
        </b:NameList>
      </b:Author>
    </b:Author>
    <b:Title>In Vitro and In Vivo Lipoprotein Antioxidant Effect of a Citrus Extract and Ascorbic Acid on Normal and Hypercholesterolemic Human Subjects</b:Title>
    <b:JournalName>Journal of Medicinal Food</b:JournalName>
    <b:Year>2001</b:Year>
    <b:Pages>187-191</b:Pages>
    <b:RefOrder>23</b:RefOrder>
  </b:Source>
  <b:Source>
    <b:Tag>Sed13</b:Tag>
    <b:SourceType>JournalArticle</b:SourceType>
    <b:Guid>{7532EE79-04CF-4E12-9CB3-F572F91C1A9C}</b:Guid>
    <b:Author>
      <b:Author>
        <b:NameList>
          <b:Person>
            <b:Last>Asgary</b:Last>
            <b:First>Sedigheh</b:First>
          </b:Person>
          <b:Person>
            <b:Last>Keshvari</b:Last>
            <b:First>Mahtab</b:First>
          </b:Person>
        </b:NameList>
      </b:Author>
    </b:Author>
    <b:Title>Effects of citrus sinensis juice on blood pressure </b:Title>
    <b:JournalName>ARYA Atheroscler </b:JournalName>
    <b:Year>2013</b:Year>
    <b:Pages>98-101</b:Pages>
    <b:RefOrder>25</b:RefOrder>
  </b:Source>
  <b:Source>
    <b:Tag>JMA13</b:Tag>
    <b:SourceType>JournalArticle</b:SourceType>
    <b:Guid>{CAF8052A-9124-44E6-A34D-3D0C223FF11E}</b:Guid>
    <b:Author>
      <b:Author>
        <b:NameList>
          <b:Person>
            <b:Last>Assini</b:Last>
            <b:First>J</b:First>
            <b:Middle>M</b:Middle>
          </b:Person>
          <b:Person>
            <b:Last>Mulvihill</b:Last>
            <b:First>E</b:First>
            <b:Middle>E</b:Middle>
          </b:Person>
          <b:Person>
            <b:Last>Huff</b:Last>
            <b:First>M</b:First>
            <b:Middle>W</b:Middle>
          </b:Person>
        </b:NameList>
      </b:Author>
    </b:Author>
    <b:Title>Citrus flavonoids and lipid metabolism</b:Title>
    <b:JournalName>Curren Opinion in Lipidology</b:JournalName>
    <b:Year>2013</b:Year>
    <b:Pages>34-40</b:Pages>
    <b:RefOrder>4</b:RefOrder>
  </b:Source>
  <b:Source>
    <b:Tag>MAA14</b:Tag>
    <b:SourceType>JournalArticle</b:SourceType>
    <b:Guid>{85DACDFD-5F24-45A5-BCF7-EF5EDE875C32}</b:Guid>
    <b:Author>
      <b:Author>
        <b:NameList>
          <b:Person>
            <b:Last>Alam</b:Last>
            <b:First>M</b:First>
            <b:Middle>A</b:Middle>
          </b:Person>
          <b:Person>
            <b:Last>Subhan</b:Last>
            <b:First>N</b:First>
          </b:Person>
          <b:Person>
            <b:Last>Rahman</b:Last>
            <b:First>M</b:First>
            <b:Middle>M</b:Middle>
          </b:Person>
          <b:Person>
            <b:Last>Uddin</b:Last>
            <b:First>S</b:First>
            <b:Middle>J</b:Middle>
          </b:Person>
          <b:Person>
            <b:Last>Reza</b:Last>
            <b:First>H</b:First>
            <b:Middle>M</b:Middle>
          </b:Person>
          <b:Person>
            <b:Last>Serkar</b:Last>
            <b:First>S</b:First>
            <b:Middle>D</b:Middle>
          </b:Person>
        </b:NameList>
      </b:Author>
    </b:Author>
    <b:Title>Effect of citrus flavonoids, naringin and naringenin, on metabolic syndrome and their mechanisms of action</b:Title>
    <b:JournalName>Advances in Nutrition</b:JournalName>
    <b:Year>2014</b:Year>
    <b:Pages>404-417</b:Pages>
    <b:RefOrder>5</b:RefOrder>
  </b:Source>
  <b:Source>
    <b:Tag>GGa07</b:Tag>
    <b:SourceType>JournalArticle</b:SourceType>
    <b:Guid>{9E95E7CF-04F5-475F-8816-B4F9B76F8FDF}</b:Guid>
    <b:Author>
      <b:Author>
        <b:NameList>
          <b:Person>
            <b:Last>Gattuso</b:Last>
            <b:First>G</b:First>
          </b:Person>
          <b:Person>
            <b:Last>Barreca</b:Last>
            <b:First>D</b:First>
          </b:Person>
          <b:Person>
            <b:Last>Gargiulli</b:Last>
            <b:First>C</b:First>
          </b:Person>
          <b:Person>
            <b:Last>Leuzzi</b:Last>
            <b:First>U</b:First>
          </b:Person>
          <b:Person>
            <b:Last>Caristi</b:Last>
            <b:First>C</b:First>
          </b:Person>
        </b:NameList>
      </b:Author>
    </b:Author>
    <b:Title>Flavonoid compisiton of citrus juices</b:Title>
    <b:JournalName>Molecules</b:JournalName>
    <b:Year>2007</b:Year>
    <b:Pages>1641-1673</b:Pages>
    <b:RefOrder>7</b:RefOrder>
  </b:Source>
  <b:Source>
    <b:Tag>SYa04</b:Tag>
    <b:SourceType>JournalArticle</b:SourceType>
    <b:Guid>{C1F0D303-D03C-49A1-A802-4F293A1C64AE}</b:Guid>
    <b:Author>
      <b:Author>
        <b:NameList>
          <b:Person>
            <b:Last>Yalım</b:Last>
            <b:First>S</b:First>
          </b:Person>
          <b:Person>
            <b:Last>Özdemir</b:Last>
            <b:First>Y</b:First>
          </b:Person>
          <b:Person>
            <b:Last>Ekiz</b:Last>
            <b:First>H</b:First>
            <b:Middle>İ</b:Middle>
          </b:Person>
        </b:NameList>
      </b:Author>
    </b:Author>
    <b:Title>Naringin in Turkish orange juices and its reduction by naringinase</b:Title>
    <b:JournalName>Journal of Food and Drug Analysis</b:JournalName>
    <b:Year>2004</b:Year>
    <b:Pages>273-276</b:Pages>
    <b:RefOrder>8</b:RefOrder>
  </b:Source>
  <b:Source>
    <b:Tag>Yos08</b:Tag>
    <b:SourceType>JournalArticle</b:SourceType>
    <b:Guid>{FF252EAA-433B-4911-8DCA-0C3F7085ACAE}</b:Guid>
    <b:Author>
      <b:Author>
        <b:NameList>
          <b:Person>
            <b:Last>Fukuchi</b:Last>
            <b:First>Yoshiko</b:First>
          </b:Person>
          <b:Person>
            <b:Last>Hiramitsu</b:Last>
            <b:First>Masanori</b:First>
          </b:Person>
          <b:Person>
            <b:Last>Okada</b:Last>
            <b:First>Miki</b:First>
          </b:Person>
          <b:Person>
            <b:Last>Hayashi</b:Last>
            <b:First>Sanae</b:First>
          </b:Person>
          <b:Person>
            <b:Last>Nabeno</b:Last>
            <b:First>Yuka</b:First>
          </b:Person>
          <b:Person>
            <b:Last>Osawa</b:Last>
            <b:First>Toshihik</b:First>
          </b:Person>
          <b:Person>
            <b:Last>Naito</b:Last>
            <b:First>Michitaka</b:First>
          </b:Person>
        </b:NameList>
      </b:Author>
    </b:Author>
    <b:Title>Lemon Polyphenols Suppress Diet-induced Obesity by Up-Regulation of mRNA Levels of the Enzymes Involved in β-Oxidation in Mouse White Adipose </b:Title>
    <b:JournalName>Journal of Clinical Biochemistry and Nutrition</b:JournalName>
    <b:Year>2008</b:Year>
    <b:Pages>201-209</b:Pages>
    <b:RefOrder>10</b:RefOrder>
  </b:Source>
  <b:Source>
    <b:Tag>Jia15</b:Tag>
    <b:SourceType>JournalArticle</b:SourceType>
    <b:Guid>{E65583AF-8DA6-4B5F-A305-E1B4F8F306D2}</b:Guid>
    <b:Author>
      <b:Author>
        <b:NameList>
          <b:Person>
            <b:Last>Ke</b:Last>
            <b:First>Jia-Yu</b:First>
          </b:Person>
          <b:Person>
            <b:Last>Kliewer</b:Last>
            <b:First>Kara</b:First>
            <b:Middle>L</b:Middle>
          </b:Person>
          <b:Person>
            <b:Last>Hamad</b:Last>
            <b:First>Essam</b:First>
            <b:Middle>M</b:Middle>
          </b:Person>
          <b:Person>
            <b:Last>Cole</b:Last>
            <b:First>Rachel</b:First>
            <b:Middle>M</b:Middle>
          </b:Person>
          <b:Person>
            <b:Last>Powell</b:Last>
            <b:First>Kimerly</b:First>
            <b:Middle>A</b:Middle>
          </b:Person>
          <b:Person>
            <b:Last>Andridge</b:Last>
            <b:First>Rebecca</b:First>
            <b:Middle>R</b:Middle>
          </b:Person>
          <b:Person>
            <b:Last>Straka</b:Last>
            <b:First>Shana</b:First>
            <b:Middle>R</b:Middle>
          </b:Person>
          <b:Person>
            <b:Last>Yee</b:Last>
            <b:First>Lisa</b:First>
            <b:Middle>D</b:Middle>
          </b:Person>
          <b:Person>
            <b:Last>Belury</b:Last>
            <b:First>Martha</b:First>
            <b:Middle>A</b:Middle>
          </b:Person>
        </b:NameList>
      </b:Author>
    </b:Author>
    <b:Title>The flavonoid, naringenin, decreases adipose tissue mass and attenuates ovariectomy-associated metabolic disturbances in mice</b:Title>
    <b:JournalName>Nutrition &amp; Metabolism</b:JournalName>
    <b:Year>2015</b:Year>
    <b:Pages>1-10</b:Pages>
    <b:RefOrder>11</b:RefOrder>
  </b:Source>
  <b:Source>
    <b:Tag>And09</b:Tag>
    <b:SourceType>JournalArticle</b:SourceType>
    <b:Guid>{BD7CA10D-BDC1-41C5-B2EF-7D58C8ACD92D}</b:Guid>
    <b:Author>
      <b:Author>
        <b:NameList>
          <b:Person>
            <b:Last>Peter</b:Last>
            <b:First>Andreas</b:First>
          </b:Person>
          <b:Person>
            <b:Last>Cegan</b:Last>
            <b:First>Alexander</b:First>
          </b:Person>
          <b:Person>
            <b:Last>Wagner</b:Last>
            <b:First>Silvia</b:First>
          </b:Person>
          <b:Person>
            <b:Last>Lehmann</b:Last>
            <b:First>Rainer</b:First>
          </b:Person>
          <b:Person>
            <b:Last>Stefan</b:Last>
            <b:First>Norbert</b:First>
          </b:Person>
          <b:Person>
            <b:Last>Konigsrainer</b:Last>
            <b:First>Alfred</b:First>
          </b:Person>
          <b:Person>
            <b:Last>Konigsrainer</b:Last>
            <b:First>Ingmar</b:First>
          </b:Person>
          <b:Person>
            <b:Last>Haring</b:Last>
            <b:First>Hans-Ulrich</b:First>
          </b:Person>
          <b:Person>
            <b:Last>Schleicher</b:Last>
            <b:First>Erwin</b:First>
          </b:Person>
        </b:NameList>
      </b:Author>
    </b:Author>
    <b:Title>Plazma VLDL Yağ Asit Oranlarından Hepatik Lipid Bileşimi ve Stearol-Koenzim A Desaturaz 1 mRNA Ekspresyonunun Belirlenmesi</b:Title>
    <b:JournalName>Clinical Chemistry</b:JournalName>
    <b:Year>2009</b:Year>
    <b:Pages>2113-2120</b:Pages>
    <b:RefOrder>12</b:RefOrder>
  </b:Source>
  <b:Source>
    <b:Tag>LaN11</b:Tag>
    <b:SourceType>JournalArticle</b:SourceType>
    <b:Guid>{69051A7E-C24D-4098-B5FD-5504E20341C9}</b:Guid>
    <b:Author>
      <b:Author>
        <b:NameList>
          <b:Person>
            <b:Last>Nichols</b:Last>
            <b:First>LaNita</b:First>
            <b:Middle>A</b:Middle>
          </b:Person>
          <b:Person>
            <b:Last>Jackson</b:Last>
            <b:First>Daniel</b:First>
            <b:Middle>E</b:Middle>
          </b:Person>
          <b:Person>
            <b:Last>Manthey</b:Last>
            <b:First>John</b:First>
            <b:Middle>A</b:Middle>
          </b:Person>
          <b:Person>
            <b:Last>Shukla</b:Last>
            <b:First>Shivendra</b:First>
            <b:Middle>D</b:Middle>
          </b:Person>
          <b:Person>
            <b:Last>Holland</b:Last>
            <b:First>Lené</b:First>
            <b:Middle>J</b:Middle>
          </b:Person>
        </b:NameList>
      </b:Author>
    </b:Author>
    <b:Title>Citrus flavonoids repress the mRNA for stearoylCoA desaturase, a key enzyme in lipid synthesis and obesity control, in rat primary hepatocytes</b:Title>
    <b:JournalName>Lipids in Health and Disease </b:JournalName>
    <b:Year>2011</b:Year>
    <b:Pages>36</b:Pages>
    <b:RefOrder>13</b:RefOrder>
  </b:Source>
  <b:Source>
    <b:Tag>KFu06</b:Tag>
    <b:SourceType>JournalArticle</b:SourceType>
    <b:Guid>{4C4A5313-C56D-4781-AEE5-4EDA19ECC8F5}</b:Guid>
    <b:Author>
      <b:Author>
        <b:NameList>
          <b:Person>
            <b:Last>Fujioka</b:Last>
            <b:First>K</b:First>
          </b:Person>
          <b:Person>
            <b:Last>Greenway</b:Last>
            <b:First>F</b:First>
          </b:Person>
          <b:Person>
            <b:Last>Sheard</b:Last>
            <b:First>J</b:First>
          </b:Person>
          <b:Person>
            <b:Last>Ying</b:Last>
            <b:First>Y</b:First>
          </b:Person>
        </b:NameList>
      </b:Author>
    </b:Author>
    <b:Title>The effects of grapefruit on weight and insulin resistance: relationship to the metabolic syndrome</b:Title>
    <b:JournalName>Journal of Medicinal Food </b:JournalName>
    <b:Year>2006</b:Year>
    <b:Pages>49-54</b:Pages>
    <b:RefOrder>14</b:RefOrder>
  </b:Source>
  <b:Source>
    <b:Tag>Car12</b:Tag>
    <b:SourceType>JournalArticle</b:SourceType>
    <b:Guid>{C95DC786-5574-4453-A448-9B7AEBCB567E}</b:Guid>
    <b:Author>
      <b:Author>
        <b:NameList>
          <b:Person>
            <b:Last>O’Neil</b:Last>
            <b:First>Carol</b:First>
            <b:Middle>E</b:Middle>
          </b:Person>
          <b:Person>
            <b:Last>Nicklas</b:Last>
            <b:First>Theresa</b:First>
            <b:Middle>A</b:Middle>
          </b:Person>
          <b:Person>
            <b:Last>Rampersaud</b:Last>
            <b:First>Gail</b:First>
            <b:Middle>C</b:Middle>
          </b:Person>
          <b:Person>
            <b:Last>Fulgoni</b:Last>
            <b:First>Victor</b:First>
            <b:Middle>L</b:Middle>
          </b:Person>
        </b:NameList>
      </b:Author>
    </b:Author>
    <b:Title>100% Orange juice consumption is associated with better diet quality, improved nutrient adequacy, decreased risk for obesity, and improved biomarkers of health in adults: National Health and Nutrition Examination Survey, 2003-2006</b:Title>
    <b:JournalName>Nutrition Journal</b:JournalName>
    <b:Year>2012</b:Year>
    <b:Pages>107</b:Pages>
    <b:RefOrder>15</b:RefOrder>
  </b:Source>
  <b:Source>
    <b:Tag>GDK05</b:Tag>
    <b:SourceType>JournalArticle</b:SourceType>
    <b:Guid>{EFFB0EA4-F7AD-4AF3-96C2-82F0FB7868CC}</b:Guid>
    <b:Author>
      <b:Author>
        <b:NameList>
          <b:Person>
            <b:Last>Kolovou</b:Last>
            <b:First>G</b:First>
            <b:Middle>D</b:Middle>
          </b:Person>
          <b:Person>
            <b:Last>Anagnostopoulou</b:Last>
            <b:First>K</b:First>
            <b:Middle>K</b:Middle>
          </b:Person>
          <b:Person>
            <b:Last>Cokkinos</b:Last>
            <b:First>D</b:First>
            <b:Middle>V</b:Middle>
          </b:Person>
        </b:NameList>
      </b:Author>
    </b:Author>
    <b:Title>Pathophysiology of dyslipidaemia in the metabolic</b:Title>
    <b:JournalName>Postgraduate Medical Journal</b:JournalName>
    <b:Year>2005</b:Year>
    <b:Pages>358-366</b:Pages>
    <b:RefOrder>16</b:RefOrder>
  </b:Source>
  <b:Source>
    <b:Tag>Jul13</b:Tag>
    <b:SourceType>JournalArticle</b:SourceType>
    <b:Guid>{E5295FFB-37FD-4D5A-BB13-050EB5D25B0C}</b:Guid>
    <b:Author>
      <b:Author>
        <b:NameList>
          <b:Person>
            <b:Last>Assini</b:Last>
            <b:First>Julia</b:First>
            <b:Middle>M.</b:Middle>
          </b:Person>
          <b:Person>
            <b:Last>Mulvihill</b:Last>
            <b:First>Erin</b:First>
            <b:Middle>E.</b:Middle>
          </b:Person>
          <b:Person>
            <b:Last>Sutherland</b:Last>
            <b:First>Brian</b:First>
            <b:Middle>G.</b:Middle>
          </b:Person>
          <b:Person>
            <b:Last>Telford</b:Last>
            <b:First>Dawn</b:First>
            <b:Middle>E.</b:Middle>
          </b:Person>
          <b:Person>
            <b:Last>Sawyez</b:Last>
            <b:First>Cynthia</b:First>
            <b:Middle>G.</b:Middle>
          </b:Person>
          <b:Person>
            <b:Last>Felder</b:Last>
            <b:First>Sarah</b:First>
            <b:Middle>L.</b:Middle>
          </b:Person>
          <b:Person>
            <b:Last>Chhoker</b:Last>
            <b:First>Sanjiv</b:First>
          </b:Person>
          <b:Person>
            <b:Last>Edwards</b:Last>
            <b:First>Jane</b:First>
            <b:Middle>Y.</b:Middle>
          </b:Person>
          <b:Person>
            <b:Last>Gros</b:Last>
            <b:First>Robert</b:First>
          </b:Person>
          <b:Person>
            <b:Last>Huff</b:Last>
            <b:First>Murray</b:First>
            <b:Middle>W.</b:Middle>
          </b:Person>
        </b:NameList>
      </b:Author>
    </b:Author>
    <b:Title>Naringenin prevents cholesterol-induced systemic infl ammation, metabolic dysregulation, and atherosclerosis in Ldlr /  mice</b:Title>
    <b:JournalName>Journal of Lipid Research</b:JournalName>
    <b:Year>2013</b:Year>
    <b:Pages>711-724</b:Pages>
    <b:RefOrder>18</b:RefOrder>
  </b:Source>
  <b:Source>
    <b:Tag>Elz00</b:Tag>
    <b:SourceType>JournalArticle</b:SourceType>
    <b:Guid>{DF181B50-7039-4E38-897C-143D8E9C1ADF}</b:Guid>
    <b:Author>
      <b:Author>
        <b:NameList>
          <b:Person>
            <b:Last>Kurowska</b:Last>
            <b:First>Elzbieta</b:First>
            <b:Middle>M</b:Middle>
          </b:Person>
          <b:Person>
            <b:Last>Spence</b:Last>
            <b:First>J</b:First>
            <b:Middle>David</b:Middle>
          </b:Person>
          <b:Person>
            <b:Last>Jordan</b:Last>
            <b:First>John</b:First>
          </b:Person>
          <b:Person>
            <b:Last>Wetmore</b:Last>
            <b:First>Stephen</b:First>
          </b:Person>
          <b:Person>
            <b:Last>Freeman</b:Last>
            <b:First>David</b:First>
            <b:Middle>J</b:Middle>
          </b:Person>
          <b:Person>
            <b:Last>Piché</b:Last>
            <b:First>Leonard</b:First>
            <b:Middle>A</b:Middle>
          </b:Person>
          <b:Person>
            <b:Last>Serratore</b:Last>
            <b:First>Paula</b:First>
          </b:Person>
        </b:NameList>
      </b:Author>
    </b:Author>
    <b:Title>HDL-cholesterol-raising effect of orange juice in subjects with hypercholesterolemia</b:Title>
    <b:JournalName>American Journal of Clinical Nutrition</b:JournalName>
    <b:Year>2000</b:Year>
    <b:Pages>1095-1100</b:Pages>
    <b:RefOrder>19</b:RefOrder>
  </b:Source>
  <b:Source>
    <b:Tag>Dra11</b:Tag>
    <b:SourceType>JournalArticle</b:SourceType>
    <b:Guid>{04955E19-7973-43D3-BFEE-D9F0A1205C2C}</b:Guid>
    <b:Author>
      <b:Author>
        <b:NameList>
          <b:Person>
            <b:Last>Milenkovic</b:Last>
            <b:First>Dragan</b:First>
          </b:Person>
          <b:Person>
            <b:Last>Deval</b:Last>
            <b:First>Christiane</b:First>
          </b:Person>
          <b:Person>
            <b:Last>Dubray</b:Last>
            <b:First>Claude</b:First>
          </b:Person>
          <b:Person>
            <b:Last>Mazur</b:Last>
            <b:First>Andrzej</b:First>
          </b:Person>
          <b:Person>
            <b:Last>Morand</b:Last>
            <b:First>Christine</b:First>
          </b:Person>
        </b:NameList>
      </b:Author>
    </b:Author>
    <b:Title>Hesperidin Displays Relevant Role in the Nutrigenomic Effect of Orange Juice on Blood Leukocytes in Human Volunteers: A Randomized Controlled Cross-Over Study</b:Title>
    <b:JournalName>Plos One</b:JournalName>
    <b:Year>2011</b:Year>
    <b:Pages>1-8</b:Pages>
    <b:RefOrder>21</b:RefOrder>
  </b:Source>
  <b:Source>
    <b:Tag>Isa10</b:Tag>
    <b:SourceType>JournalArticle</b:SourceType>
    <b:Guid>{86AE788B-147D-4FA7-85DC-E1ACD57DBA61}</b:Guid>
    <b:Author>
      <b:Author>
        <b:NameList>
          <b:Person>
            <b:Last>Demonty</b:Last>
            <b:First>Isabelle</b:First>
          </b:Person>
          <b:Person>
            <b:Last>Lin</b:Last>
            <b:First>Yuguang</b:First>
          </b:Person>
          <b:Person>
            <b:Last>Zebregs</b:Last>
            <b:First>Yvonne</b:First>
            <b:Middle>E. M. P.</b:Middle>
          </b:Person>
          <b:Person>
            <b:Last>Vermeer</b:Last>
            <b:First>Mario</b:First>
            <b:Middle>A.</b:Middle>
          </b:Person>
          <b:Person>
            <b:Last>Knaap</b:Last>
            <b:First>Henk</b:First>
            <b:Middle>C. M. van der</b:Middle>
          </b:Person>
          <b:Person>
            <b:Last>Ja¨kel</b:Last>
            <b:First>Martin</b:First>
          </b:Person>
          <b:Person>
            <b:Last>Trautwein</b:Last>
            <b:First>Elke</b:First>
            <b:Middle>A.</b:Middle>
          </b:Person>
        </b:NameList>
      </b:Author>
    </b:Author>
    <b:Title>The Citrus Flavonoids Hesperidin and Naringin Do Not Affect Serum Cholesterol in Moderately Hypercholesterolemic Men and Women</b:Title>
    <b:JournalName>Journal of Nutrition</b:JournalName>
    <b:Year>2010</b:Year>
    <b:Pages>1615-1620</b:Pages>
    <b:RefOrder>22</b:RefOrder>
  </b:Source>
  <b:Source>
    <b:Tag>Chr11</b:Tag>
    <b:SourceType>JournalArticle</b:SourceType>
    <b:Guid>{D867C0C8-09A8-4A75-8F99-2BAE63E4CC6C}</b:Guid>
    <b:Author>
      <b:Author>
        <b:NameList>
          <b:Person>
            <b:Last>Morand</b:Last>
            <b:First>Christine</b:First>
          </b:Person>
          <b:Person>
            <b:Last>Dubray</b:Last>
            <b:First>Claude</b:First>
          </b:Person>
          <b:Person>
            <b:Last>Milenkovic</b:Last>
            <b:First>Dragan</b:First>
          </b:Person>
          <b:Person>
            <b:Last>Lioger</b:Last>
            <b:First>Delphine</b:First>
          </b:Person>
          <b:Person>
            <b:Last>Martin</b:Last>
            <b:First>Jean</b:First>
            <b:Middle>Francois</b:Middle>
          </b:Person>
          <b:Person>
            <b:Last>Scalbert</b:Last>
            <b:First>Augustin</b:First>
          </b:Person>
          <b:Person>
            <b:Last>Mazur</b:Last>
            <b:First>Andrzej</b:First>
          </b:Person>
        </b:NameList>
      </b:Author>
    </b:Author>
    <b:Title>Hesperidin contributes to the vascular protective effects of orange juice: a randomized crossover study in healthy volunteers</b:Title>
    <b:JournalName>American Journal of Clinical Nutrition</b:JournalName>
    <b:Year>2011</b:Year>
    <b:Pages>73-80</b:Pages>
    <b:RefOrder>24</b:RefOrder>
  </b:Source>
  <b:Source>
    <b:Tag>UnJ06</b:Tag>
    <b:SourceType>JournalArticle</b:SourceType>
    <b:Guid>{C88DF307-572B-4831-90E5-263D97E83631}</b:Guid>
    <b:Author>
      <b:Author>
        <b:NameList>
          <b:Person>
            <b:Last>Jung</b:Last>
            <b:First>Un</b:First>
            <b:Middle>Ju</b:Middle>
          </b:Person>
          <b:Person>
            <b:Last>Lee</b:Last>
            <b:First>Mi-Kyung</b:First>
          </b:Person>
          <b:Person>
            <b:Last>Park</b:Last>
            <b:First>Yong</b:First>
            <b:Middle>Bok</b:Middle>
          </b:Person>
          <b:Person>
            <b:Last>Kang</b:Last>
            <b:First>Mi</b:First>
            <b:Middle>Ae</b:Middle>
          </b:Person>
          <b:Person>
            <b:Last>Choi</b:Last>
            <b:First>Myung-Sook</b:First>
          </b:Person>
        </b:NameList>
      </b:Author>
    </b:Author>
    <b:Title>Effect of citrus flavonoids on lipid metabolism and glucose-regulating enzyme mRNA levels in type-2 diabetic mice</b:Title>
    <b:JournalName>The International Journal of Biochemistry &amp; Cell Biology</b:JournalName>
    <b:Year>2006</b:Year>
    <b:Pages>1134-1145</b:Pages>
    <b:RefOrder>26</b:RefOrder>
  </b:Source>
  <b:Source>
    <b:Tag>Aym13</b:Tag>
    <b:SourceType>JournalArticle</b:SourceType>
    <b:Guid>{AD2AD323-9E8C-45F5-95EC-D37A61537CF3}</b:Guid>
    <b:Author>
      <b:Author>
        <b:NameList>
          <b:Person>
            <b:Last>Mahmoud</b:Last>
            <b:First>Ayman</b:First>
            <b:Middle>M</b:Middle>
          </b:Person>
          <b:Person>
            <b:Last>Ahmed</b:Last>
            <b:First>Osama</b:First>
            <b:Middle>M</b:Middle>
          </b:Person>
          <b:Person>
            <b:Last>Abdel-Moneim</b:Last>
            <b:First>Adel</b:First>
          </b:Person>
          <b:Person>
            <b:Last>Ashour</b:Last>
            <b:First>Mohamed</b:First>
            <b:Middle>B</b:Middle>
          </b:Person>
        </b:NameList>
      </b:Author>
    </b:Author>
    <b:Title>Upregulation of PPARγ mediates the antidiabetic effects of citrus flavonoids in type 2 diabetic rats </b:Title>
    <b:JournalName>International Journal of Bioassays</b:JournalName>
    <b:Year>2013</b:Year>
    <b:Pages>756-761</b:Pages>
    <b:RefOrder>27</b:RefOrder>
  </b:Source>
  <b:Source>
    <b:Tag>Pei12</b:Tag>
    <b:SourceType>JournalArticle</b:SourceType>
    <b:Guid>{3C910F0A-FB6B-4429-A0F9-26EE36E412CC}</b:Guid>
    <b:Author>
      <b:Author>
        <b:NameList>
          <b:Person>
            <b:Last>Peixoto</b:Last>
            <b:First>Jéssica</b:First>
            <b:Middle>Sereno</b:Middle>
          </b:Person>
          <b:Person>
            <b:Last>Comar</b:Last>
            <b:First>Jurandir</b:First>
            <b:Middle>Fernando</b:Middle>
          </b:Person>
          <b:Person>
            <b:Last>Moreira</b:Last>
            <b:First>Caroline</b:First>
            <b:Middle>Tessaro</b:Middle>
          </b:Person>
          <b:Person>
            <b:Last>Soares</b:Last>
            <b:First>Andréia</b:First>
            <b:Middle>Assunção</b:Middle>
          </b:Person>
          <b:Person>
            <b:Last>Oliveira</b:Last>
            <b:First>Andrea</b:First>
            <b:Middle>Luiza de</b:Middle>
          </b:Person>
          <b:Person>
            <b:Last>Bracht</b:Last>
            <b:First>Adelar</b:First>
          </b:Person>
          <b:Person>
            <b:Last>Peralta</b:Last>
            <b:First>Rosane</b:First>
            <b:Middle>Marina</b:Middle>
          </b:Person>
        </b:NameList>
      </b:Author>
    </b:Author>
    <b:Title>Effects of Citrus aurantium (Bitter Orange) Fruit Extracts and p-Synephrine on Metabolic Fluxes in the Rat Liver</b:Title>
    <b:JournalName>molecules</b:JournalName>
    <b:Year>2012</b:Year>
    <b:Pages>5854-5869</b:Pages>
    <b:Issue>17</b:Issue>
    <b:RefOrder>1</b:RefOrder>
  </b:Source>
</b:Sources>
</file>

<file path=customXml/itemProps1.xml><?xml version="1.0" encoding="utf-8"?>
<ds:datastoreItem xmlns:ds="http://schemas.openxmlformats.org/officeDocument/2006/customXml" ds:itemID="{A4C8C7EC-3748-4CA1-B4D8-9437B92B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5173</Words>
  <Characters>29491</Characters>
  <Application>Microsoft Office Word</Application>
  <DocSecurity>0</DocSecurity>
  <Lines>245</Lines>
  <Paragraphs>69</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GİRİŞ</vt:lpstr>
      <vt:lpstr>GİRİŞ</vt:lpstr>
      <vt:lpstr>GİRİŞ</vt:lpstr>
    </vt:vector>
  </TitlesOfParts>
  <Company/>
  <LinksUpToDate>false</LinksUpToDate>
  <CharactersWithSpaces>34595</CharactersWithSpaces>
  <SharedDoc>false</SharedDoc>
  <HLinks>
    <vt:vector size="6" baseType="variant">
      <vt:variant>
        <vt:i4>7536733</vt:i4>
      </vt:variant>
      <vt:variant>
        <vt:i4>0</vt:i4>
      </vt:variant>
      <vt:variant>
        <vt:i4>0</vt:i4>
      </vt:variant>
      <vt:variant>
        <vt:i4>5</vt:i4>
      </vt:variant>
      <vt:variant>
        <vt:lpwstr>mailto:okomodavictor@yahoo.com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subject/>
  <dc:creator>ö. ö.</dc:creator>
  <cp:keywords/>
  <cp:lastModifiedBy>Dr. Özkan ÖZDEN</cp:lastModifiedBy>
  <cp:revision>8</cp:revision>
  <cp:lastPrinted>2017-01-16T12:34:00Z</cp:lastPrinted>
  <dcterms:created xsi:type="dcterms:W3CDTF">2017-01-05T13:35:00Z</dcterms:created>
  <dcterms:modified xsi:type="dcterms:W3CDTF">2017-01-31T06:03:00Z</dcterms:modified>
</cp:coreProperties>
</file>